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C23D1" w14:textId="77777777" w:rsidR="00E713AC" w:rsidRDefault="00E713AC">
      <w:pPr>
        <w:pStyle w:val="Title"/>
        <w:jc w:val="center"/>
      </w:pPr>
    </w:p>
    <w:p w14:paraId="7FE7083A" w14:textId="77777777" w:rsidR="00E713AC" w:rsidRDefault="00E713AC">
      <w:pPr>
        <w:rPr>
          <w:lang w:val="zh-CN" w:eastAsia="ja-JP"/>
        </w:rPr>
      </w:pPr>
    </w:p>
    <w:p w14:paraId="5D338A49" w14:textId="77777777" w:rsidR="00E713AC" w:rsidRDefault="00E713AC">
      <w:pPr>
        <w:rPr>
          <w:lang w:val="zh-CN" w:eastAsia="ja-JP"/>
        </w:rPr>
      </w:pPr>
    </w:p>
    <w:p w14:paraId="1D4CFE0B" w14:textId="77777777" w:rsidR="00E713AC" w:rsidRPr="003703AD" w:rsidRDefault="00000000">
      <w:pPr>
        <w:pStyle w:val="Title"/>
        <w:jc w:val="center"/>
        <w:rPr>
          <w:b/>
          <w:bCs/>
        </w:rPr>
      </w:pPr>
      <w:r w:rsidRPr="003703AD">
        <w:rPr>
          <w:b/>
          <w:bCs/>
        </w:rPr>
        <w:t>A Practical Guide to</w:t>
      </w:r>
    </w:p>
    <w:p w14:paraId="2DBAB893" w14:textId="77777777" w:rsidR="00E713AC" w:rsidRPr="003703AD" w:rsidRDefault="00000000">
      <w:pPr>
        <w:pStyle w:val="Title"/>
        <w:jc w:val="center"/>
        <w:rPr>
          <w:b/>
          <w:bCs/>
        </w:rPr>
      </w:pPr>
      <w:r w:rsidRPr="003703AD">
        <w:rPr>
          <w:b/>
          <w:bCs/>
        </w:rPr>
        <w:t>Practice-Based DFA Research:</w:t>
      </w:r>
    </w:p>
    <w:p w14:paraId="6F47AB4D" w14:textId="77777777" w:rsidR="00E713AC" w:rsidRDefault="00E713AC">
      <w:pPr>
        <w:rPr>
          <w:lang w:val="zh-CN" w:eastAsia="ja-JP"/>
        </w:rPr>
      </w:pPr>
    </w:p>
    <w:p w14:paraId="2B83A940" w14:textId="77777777" w:rsidR="00E713AC" w:rsidRDefault="00000000">
      <w:pPr>
        <w:pStyle w:val="Title"/>
        <w:jc w:val="center"/>
        <w:rPr>
          <w:rFonts w:ascii="Arial" w:eastAsiaTheme="minorEastAsia" w:hAnsi="Arial" w:cstheme="minorBidi"/>
          <w:i/>
          <w:spacing w:val="0"/>
          <w:kern w:val="0"/>
          <w:sz w:val="28"/>
          <w:szCs w:val="22"/>
          <w:lang w:val="en-US" w:eastAsia="en-US"/>
          <w14:ligatures w14:val="none"/>
        </w:rPr>
      </w:pPr>
      <w:r>
        <w:rPr>
          <w:rFonts w:ascii="Arial" w:eastAsiaTheme="minorEastAsia" w:hAnsi="Arial" w:cstheme="minorBidi"/>
          <w:i/>
          <w:spacing w:val="0"/>
          <w:kern w:val="0"/>
          <w:sz w:val="28"/>
          <w:szCs w:val="22"/>
          <w:lang w:val="en-US" w:eastAsia="en-US"/>
          <w14:ligatures w14:val="none"/>
        </w:rPr>
        <w:t>A personal toolkit for practice-based doctorates</w:t>
      </w:r>
    </w:p>
    <w:p w14:paraId="7500D4E3" w14:textId="77777777" w:rsidR="00E713AC" w:rsidRDefault="00E713AC">
      <w:pPr>
        <w:pStyle w:val="Title"/>
        <w:jc w:val="center"/>
      </w:pPr>
    </w:p>
    <w:p w14:paraId="3BF40419" w14:textId="77777777" w:rsidR="00E713AC" w:rsidRDefault="00E713AC">
      <w:pPr>
        <w:pStyle w:val="Title"/>
        <w:jc w:val="center"/>
      </w:pPr>
    </w:p>
    <w:p w14:paraId="1B4E01AF" w14:textId="77777777" w:rsidR="00E713AC" w:rsidRDefault="00E713AC">
      <w:pPr>
        <w:rPr>
          <w:lang w:val="zh-CN" w:eastAsia="ja-JP"/>
        </w:rPr>
      </w:pPr>
    </w:p>
    <w:p w14:paraId="1AA35ECF" w14:textId="77777777" w:rsidR="00E713AC" w:rsidRDefault="00000000">
      <w:pPr>
        <w:jc w:val="center"/>
        <w:rPr>
          <w:sz w:val="32"/>
          <w:szCs w:val="32"/>
          <w:lang w:val="zh-CN" w:eastAsia="ja-JP"/>
        </w:rPr>
      </w:pPr>
      <w:r>
        <w:rPr>
          <w:sz w:val="32"/>
          <w:szCs w:val="32"/>
          <w:lang w:val="zh-CN" w:eastAsia="ja-JP"/>
        </w:rPr>
        <w:t>Author: Dr Michael Whittle</w:t>
      </w:r>
    </w:p>
    <w:p w14:paraId="0878E293" w14:textId="77777777" w:rsidR="00E713AC" w:rsidRDefault="00000000">
      <w:pPr>
        <w:jc w:val="center"/>
        <w:rPr>
          <w:lang w:val="zh-CN" w:eastAsia="ja-JP"/>
        </w:rPr>
      </w:pPr>
      <w:r>
        <w:rPr>
          <w:lang w:val="zh-CN" w:eastAsia="ja-JP"/>
        </w:rPr>
        <w:t>Version: 1.0</w:t>
      </w:r>
    </w:p>
    <w:p w14:paraId="2098DDCC" w14:textId="77777777" w:rsidR="00E713AC" w:rsidRDefault="00E713AC">
      <w:pPr>
        <w:pStyle w:val="Title"/>
        <w:jc w:val="center"/>
      </w:pPr>
    </w:p>
    <w:p w14:paraId="23819E06" w14:textId="77777777" w:rsidR="00E713AC" w:rsidRDefault="00E713AC">
      <w:pPr>
        <w:pStyle w:val="Title"/>
        <w:jc w:val="center"/>
      </w:pPr>
    </w:p>
    <w:p w14:paraId="3E980786" w14:textId="77777777" w:rsidR="00E713AC" w:rsidRDefault="00E713AC">
      <w:pPr>
        <w:pStyle w:val="Title"/>
        <w:jc w:val="center"/>
      </w:pPr>
    </w:p>
    <w:p w14:paraId="6965741F" w14:textId="77777777" w:rsidR="00E713AC" w:rsidRDefault="00000000">
      <w:pPr>
        <w:pStyle w:val="NormalWeb"/>
        <w:jc w:val="center"/>
        <w:rPr>
          <w:rFonts w:ascii="Arial" w:hAnsi="Arial" w:cs="Arial"/>
        </w:rPr>
      </w:pPr>
      <w:r>
        <w:rPr>
          <w:rFonts w:ascii="Arial" w:hAnsi="Arial" w:cs="Arial"/>
        </w:rPr>
        <w:t>Last updated: March 2026</w:t>
      </w:r>
    </w:p>
    <w:p w14:paraId="7424BE4C" w14:textId="77777777" w:rsidR="00E713AC" w:rsidRDefault="00E713AC">
      <w:pPr>
        <w:pStyle w:val="Title"/>
        <w:jc w:val="center"/>
      </w:pPr>
    </w:p>
    <w:p w14:paraId="40A55F2C" w14:textId="77777777" w:rsidR="00E713AC" w:rsidRDefault="00E713AC">
      <w:pPr>
        <w:pStyle w:val="Title"/>
        <w:jc w:val="center"/>
      </w:pPr>
    </w:p>
    <w:p w14:paraId="2340F4AD" w14:textId="77777777" w:rsidR="00E713AC" w:rsidRDefault="00E713AC">
      <w:pPr>
        <w:pStyle w:val="Title"/>
        <w:jc w:val="center"/>
      </w:pPr>
    </w:p>
    <w:p w14:paraId="0DF75496" w14:textId="77777777" w:rsidR="00E713AC" w:rsidRDefault="00E713AC">
      <w:pPr>
        <w:pStyle w:val="Title"/>
        <w:jc w:val="center"/>
      </w:pPr>
    </w:p>
    <w:p w14:paraId="6474B9C2" w14:textId="77777777" w:rsidR="00E713AC" w:rsidRDefault="00E713AC">
      <w:pPr>
        <w:pStyle w:val="NormalWeb"/>
        <w:rPr>
          <w:rFonts w:ascii="Arial" w:hAnsi="Arial" w:cs="Arial"/>
        </w:rPr>
      </w:pPr>
    </w:p>
    <w:p w14:paraId="6D073B50" w14:textId="77777777" w:rsidR="00E713AC" w:rsidRDefault="00E713AC">
      <w:pPr>
        <w:pStyle w:val="NormalWeb"/>
        <w:rPr>
          <w:rFonts w:ascii="Arial" w:hAnsi="Arial" w:cs="Arial"/>
        </w:rPr>
      </w:pPr>
    </w:p>
    <w:p w14:paraId="497B6539" w14:textId="77777777" w:rsidR="00E713AC" w:rsidRDefault="00000000">
      <w:pPr>
        <w:pStyle w:val="NormalWeb"/>
        <w:rPr>
          <w:rFonts w:ascii="Arial" w:hAnsi="Arial" w:cs="Arial"/>
          <w:b/>
          <w:bCs/>
        </w:rPr>
      </w:pPr>
      <w:r>
        <w:rPr>
          <w:rFonts w:ascii="Arial" w:hAnsi="Arial" w:cs="Arial"/>
          <w:b/>
          <w:bCs/>
        </w:rPr>
        <w:t>About This Guide:</w:t>
      </w:r>
    </w:p>
    <w:p w14:paraId="1DE70A9C" w14:textId="77777777" w:rsidR="00E713AC" w:rsidRDefault="00000000">
      <w:pPr>
        <w:pStyle w:val="NormalWeb"/>
        <w:rPr>
          <w:rFonts w:ascii="Arial" w:hAnsi="Arial" w:cs="Arial"/>
        </w:rPr>
      </w:pPr>
      <w:r>
        <w:rPr>
          <w:rFonts w:ascii="Arial" w:hAnsi="Arial" w:cs="Arial"/>
        </w:rPr>
        <w:t>This is an unofficial, independent resource. It is not affiliated with, endorsed by, or representative of any specific university or academic department. The content reflects my personal experience and perspectives as a practicing contemporary artist and DFA supervisor ; it is offered freely as a general roadmap for anyone undertaking practice-based doctoral research in the arts.Please Note: This guide does not constitute official academic advice. You should always consult your own supervisors and institutional guidelines for program-specific requirements and policies.</w:t>
      </w:r>
    </w:p>
    <w:p w14:paraId="438EC06A" w14:textId="77777777" w:rsidR="00E713AC" w:rsidRDefault="00E713AC">
      <w:pPr>
        <w:pStyle w:val="NormalWeb"/>
        <w:rPr>
          <w:rFonts w:ascii="Arial" w:hAnsi="Arial" w:cs="Arial"/>
        </w:rPr>
      </w:pPr>
    </w:p>
    <w:p w14:paraId="56786FC2" w14:textId="77777777" w:rsidR="00E713AC" w:rsidRDefault="00000000">
      <w:pPr>
        <w:pStyle w:val="NormalWeb"/>
        <w:rPr>
          <w:rFonts w:ascii="Arial" w:hAnsi="Arial" w:cs="Arial"/>
          <w:b/>
          <w:bCs/>
        </w:rPr>
      </w:pPr>
      <w:r>
        <w:rPr>
          <w:rFonts w:ascii="Arial" w:hAnsi="Arial" w:cs="Arial"/>
          <w:b/>
          <w:bCs/>
        </w:rPr>
        <w:t>Usage Rights:</w:t>
      </w:r>
    </w:p>
    <w:p w14:paraId="656449BB" w14:textId="77777777" w:rsidR="00E713AC" w:rsidRDefault="00000000">
      <w:pPr>
        <w:pStyle w:val="NormalWeb"/>
        <w:rPr>
          <w:rFonts w:ascii="Arial" w:hAnsi="Arial" w:cs="Arial"/>
        </w:rPr>
      </w:pPr>
      <w:r>
        <w:rPr>
          <w:rFonts w:ascii="Arial" w:hAnsi="Arial" w:cs="Arial"/>
        </w:rPr>
        <w:t>This work is licensed under a Creative Commons Attribution-NonCommercial-ShareAlike 4.0 International License (CC BY-NC-SA 4.0). You are welcome to share and adapt this guide for non-commercial educational purposes, provided you give appropriate credit to the author, link to the license, and indicate if changes were made. Any adapted versions must be released under this same license.</w:t>
      </w:r>
    </w:p>
    <w:p w14:paraId="536D661F" w14:textId="77777777" w:rsidR="00E713AC" w:rsidRDefault="00E713AC">
      <w:pPr>
        <w:pStyle w:val="NormalWeb"/>
        <w:rPr>
          <w:rFonts w:ascii="Arial" w:hAnsi="Arial" w:cs="Arial"/>
        </w:rPr>
      </w:pPr>
    </w:p>
    <w:p w14:paraId="26F38F47" w14:textId="77777777" w:rsidR="00E713AC" w:rsidRDefault="00E713AC">
      <w:pPr>
        <w:pStyle w:val="NormalWeb"/>
        <w:rPr>
          <w:rFonts w:ascii="Arial" w:hAnsi="Arial" w:cs="Arial"/>
        </w:rPr>
      </w:pPr>
    </w:p>
    <w:p w14:paraId="68CC4C5D" w14:textId="77777777" w:rsidR="00E713AC" w:rsidRDefault="00E713AC">
      <w:pPr>
        <w:pStyle w:val="NormalWeb"/>
        <w:rPr>
          <w:rFonts w:ascii="Arial" w:hAnsi="Arial" w:cs="Arial"/>
        </w:rPr>
      </w:pPr>
    </w:p>
    <w:p w14:paraId="009A871F" w14:textId="77777777" w:rsidR="00E713AC" w:rsidRDefault="00E713AC">
      <w:pPr>
        <w:pStyle w:val="NormalWeb"/>
        <w:rPr>
          <w:rFonts w:ascii="Arial" w:hAnsi="Arial" w:cs="Arial"/>
        </w:rPr>
      </w:pPr>
    </w:p>
    <w:p w14:paraId="433E62FD" w14:textId="77777777" w:rsidR="00E713AC" w:rsidRDefault="00E713AC">
      <w:pPr>
        <w:pStyle w:val="NormalWeb"/>
        <w:rPr>
          <w:rFonts w:ascii="Arial" w:hAnsi="Arial" w:cs="Arial"/>
        </w:rPr>
      </w:pPr>
    </w:p>
    <w:p w14:paraId="4B685CA0" w14:textId="77777777" w:rsidR="00E713AC" w:rsidRDefault="00E713AC">
      <w:pPr>
        <w:pStyle w:val="NormalWeb"/>
        <w:rPr>
          <w:rFonts w:ascii="Arial" w:hAnsi="Arial" w:cs="Arial"/>
        </w:rPr>
      </w:pPr>
    </w:p>
    <w:p w14:paraId="7DB64DD3" w14:textId="77777777" w:rsidR="00E713AC" w:rsidRDefault="00E713AC">
      <w:pPr>
        <w:pStyle w:val="NormalWeb"/>
        <w:rPr>
          <w:rFonts w:ascii="Arial" w:hAnsi="Arial" w:cs="Arial"/>
        </w:rPr>
      </w:pPr>
    </w:p>
    <w:p w14:paraId="55D4807A" w14:textId="77777777" w:rsidR="00E713AC" w:rsidRDefault="00E713AC">
      <w:pPr>
        <w:pStyle w:val="NormalWeb"/>
        <w:rPr>
          <w:rFonts w:ascii="Arial" w:hAnsi="Arial" w:cs="Arial"/>
        </w:rPr>
      </w:pPr>
    </w:p>
    <w:p w14:paraId="5451A6A7" w14:textId="77777777" w:rsidR="00E713AC" w:rsidRDefault="00E713AC">
      <w:pPr>
        <w:pStyle w:val="NormalWeb"/>
        <w:rPr>
          <w:rFonts w:ascii="Arial" w:hAnsi="Arial" w:cs="Arial"/>
        </w:rPr>
      </w:pPr>
    </w:p>
    <w:p w14:paraId="5B7348CE" w14:textId="77777777" w:rsidR="00E713AC" w:rsidRDefault="00E713AC">
      <w:pPr>
        <w:pStyle w:val="NormalWeb"/>
        <w:rPr>
          <w:rFonts w:ascii="Arial" w:hAnsi="Arial" w:cs="Arial"/>
        </w:rPr>
      </w:pPr>
    </w:p>
    <w:p w14:paraId="70BCF581" w14:textId="77777777" w:rsidR="00E713AC" w:rsidRDefault="00E713AC">
      <w:pPr>
        <w:pStyle w:val="NormalWeb"/>
        <w:rPr>
          <w:rFonts w:ascii="Arial" w:hAnsi="Arial" w:cs="Arial"/>
        </w:rPr>
      </w:pPr>
    </w:p>
    <w:p w14:paraId="1C233A92" w14:textId="77777777" w:rsidR="00E713AC" w:rsidRDefault="00E713AC">
      <w:pPr>
        <w:pStyle w:val="NormalWeb"/>
        <w:rPr>
          <w:rFonts w:ascii="Arial" w:hAnsi="Arial" w:cs="Arial"/>
        </w:rPr>
      </w:pPr>
    </w:p>
    <w:p w14:paraId="0E8AAB50" w14:textId="77777777" w:rsidR="00E713AC" w:rsidRDefault="00E713AC">
      <w:pPr>
        <w:pStyle w:val="NormalWeb"/>
        <w:rPr>
          <w:rFonts w:ascii="Arial" w:hAnsi="Arial" w:cs="Arial"/>
        </w:rPr>
      </w:pPr>
    </w:p>
    <w:p w14:paraId="78DADF58" w14:textId="77777777" w:rsidR="00E713AC" w:rsidRDefault="00E713AC">
      <w:pPr>
        <w:pStyle w:val="NormalWeb"/>
        <w:rPr>
          <w:rFonts w:ascii="Arial" w:hAnsi="Arial" w:cs="Arial"/>
        </w:rPr>
      </w:pPr>
    </w:p>
    <w:p w14:paraId="7FB73783" w14:textId="77777777" w:rsidR="00E713AC" w:rsidRDefault="00E713AC">
      <w:pPr>
        <w:pStyle w:val="NormalWeb"/>
        <w:rPr>
          <w:rFonts w:ascii="Arial" w:hAnsi="Arial" w:cs="Arial"/>
        </w:rPr>
      </w:pPr>
    </w:p>
    <w:p w14:paraId="32D9A93B" w14:textId="77777777" w:rsidR="00E713AC" w:rsidRDefault="00E713AC">
      <w:pPr>
        <w:pStyle w:val="NormalWeb"/>
        <w:rPr>
          <w:rFonts w:ascii="Arial" w:hAnsi="Arial" w:cs="Arial"/>
        </w:rPr>
      </w:pPr>
    </w:p>
    <w:p w14:paraId="633E1406" w14:textId="77777777" w:rsidR="00E713AC" w:rsidRDefault="00000000">
      <w:pPr>
        <w:pStyle w:val="NormalWeb"/>
        <w:rPr>
          <w:rFonts w:ascii="Arial" w:hAnsi="Arial" w:cs="Arial"/>
        </w:rPr>
      </w:pPr>
      <w:r>
        <w:rPr>
          <w:rFonts w:ascii="Arial" w:hAnsi="Arial" w:cs="Arial"/>
        </w:rPr>
        <w:t>To Professor John Wood and Professor Karen Shallreuter, my undergraduate professors in biochemistry.</w:t>
      </w:r>
    </w:p>
    <w:p w14:paraId="5F9310FB" w14:textId="77777777" w:rsidR="00E713AC" w:rsidRDefault="00000000">
      <w:pPr>
        <w:pStyle w:val="NormalWeb"/>
        <w:rPr>
          <w:rFonts w:ascii="Arial" w:hAnsi="Arial" w:cs="Arial"/>
        </w:rPr>
      </w:pPr>
      <w:r>
        <w:rPr>
          <w:rFonts w:ascii="Arial" w:hAnsi="Arial" w:cs="Arial"/>
        </w:rPr>
        <w:t>Thank you for your extraordinary open-mindedness. You supported my passion for science, and when I chose to change direction and pursue fine art, you supported that too - with equal enthusiasm. Your belief in me led to opportunities far beyond what I deserved.</w:t>
      </w:r>
    </w:p>
    <w:p w14:paraId="27FF4F1E" w14:textId="77777777" w:rsidR="00E713AC" w:rsidRDefault="00000000">
      <w:pPr>
        <w:pStyle w:val="NormalWeb"/>
        <w:rPr>
          <w:rFonts w:ascii="Arial" w:hAnsi="Arial" w:cs="Arial"/>
        </w:rPr>
      </w:pPr>
      <w:r>
        <w:rPr>
          <w:rFonts w:ascii="Arial" w:hAnsi="Arial" w:cs="Arial"/>
        </w:rPr>
        <w:t>Your kindness taught me what true academic generosity looks like. Because of you, I promised myself that if I ever had the chance, I would support my own students with the same openness, encouragement, and trust — no matter where their path might lead.</w:t>
      </w:r>
    </w:p>
    <w:p w14:paraId="088AF4E3" w14:textId="77777777" w:rsidR="00E713AC" w:rsidRDefault="00000000">
      <w:pPr>
        <w:pStyle w:val="NormalWeb"/>
        <w:rPr>
          <w:rFonts w:ascii="Arial" w:hAnsi="Arial" w:cs="Arial"/>
        </w:rPr>
      </w:pPr>
      <w:r>
        <w:rPr>
          <w:rFonts w:ascii="Arial" w:hAnsi="Arial" w:cs="Arial"/>
        </w:rPr>
        <w:t>This humble guide is dedicated to you both, in deep gratitude.</w:t>
      </w:r>
    </w:p>
    <w:p w14:paraId="55E16AC6" w14:textId="77777777" w:rsidR="00E713AC" w:rsidRDefault="00E713AC">
      <w:pPr>
        <w:pStyle w:val="NormalWeb"/>
        <w:rPr>
          <w:rFonts w:ascii="Arial" w:hAnsi="Arial" w:cs="Arial"/>
        </w:rPr>
      </w:pPr>
    </w:p>
    <w:p w14:paraId="43CA249E" w14:textId="77777777" w:rsidR="00E713AC" w:rsidRDefault="00E713AC">
      <w:pPr>
        <w:pStyle w:val="NormalWeb"/>
        <w:rPr>
          <w:rFonts w:ascii="Arial" w:hAnsi="Arial" w:cs="Arial"/>
        </w:rPr>
      </w:pPr>
    </w:p>
    <w:p w14:paraId="3CEB9073" w14:textId="77777777" w:rsidR="00E713AC" w:rsidRDefault="00E713AC">
      <w:pPr>
        <w:pStyle w:val="Title"/>
        <w:jc w:val="center"/>
      </w:pPr>
    </w:p>
    <w:p w14:paraId="34115775" w14:textId="77777777" w:rsidR="00E713AC" w:rsidRDefault="00E713AC">
      <w:pPr>
        <w:rPr>
          <w:lang w:val="zh-CN" w:eastAsia="ja-JP"/>
        </w:rPr>
      </w:pPr>
    </w:p>
    <w:p w14:paraId="1854E884" w14:textId="77777777" w:rsidR="00E713AC" w:rsidRDefault="00E713AC">
      <w:pPr>
        <w:pStyle w:val="Title"/>
        <w:jc w:val="center"/>
      </w:pPr>
    </w:p>
    <w:p w14:paraId="0C68CE99" w14:textId="77777777" w:rsidR="00E713AC" w:rsidRDefault="00E713AC">
      <w:pPr>
        <w:rPr>
          <w:lang w:val="zh-CN" w:eastAsia="ja-JP"/>
        </w:rPr>
      </w:pPr>
    </w:p>
    <w:p w14:paraId="2BCA715D" w14:textId="77777777" w:rsidR="00E713AC" w:rsidRDefault="00E713AC">
      <w:pPr>
        <w:rPr>
          <w:lang w:val="zh-CN" w:eastAsia="ja-JP"/>
        </w:rPr>
      </w:pPr>
    </w:p>
    <w:p w14:paraId="106BD5F4" w14:textId="77777777" w:rsidR="00E713AC" w:rsidRDefault="00E713AC">
      <w:pPr>
        <w:rPr>
          <w:lang w:val="zh-CN" w:eastAsia="ja-JP"/>
        </w:rPr>
      </w:pPr>
    </w:p>
    <w:p w14:paraId="13FBAAF7" w14:textId="77777777" w:rsidR="00E713AC" w:rsidRDefault="00E713AC">
      <w:pPr>
        <w:rPr>
          <w:lang w:val="zh-CN" w:eastAsia="ja-JP"/>
        </w:rPr>
      </w:pPr>
    </w:p>
    <w:p w14:paraId="38DA777C" w14:textId="77777777" w:rsidR="00E713AC" w:rsidRDefault="00E713AC">
      <w:pPr>
        <w:rPr>
          <w:lang w:val="zh-CN" w:eastAsia="ja-JP"/>
        </w:rPr>
      </w:pPr>
    </w:p>
    <w:p w14:paraId="30269AE7" w14:textId="77777777" w:rsidR="00E713AC" w:rsidRDefault="00000000">
      <w:pPr>
        <w:pStyle w:val="Heading2"/>
      </w:pPr>
      <w:r>
        <w:t>Quick Navigation Guide</w:t>
      </w:r>
    </w:p>
    <w:p w14:paraId="54115500" w14:textId="77777777" w:rsidR="00E713AC" w:rsidRDefault="00000000">
      <w:r>
        <w:t>Use this guide to navigate directly to the sections most relevant to your current stage or needs:</w:t>
      </w:r>
    </w:p>
    <w:tbl>
      <w:tblPr>
        <w:tblStyle w:val="LightGrid-Accent1"/>
        <w:tblW w:w="0" w:type="auto"/>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2684"/>
        <w:gridCol w:w="3260"/>
        <w:gridCol w:w="3396"/>
      </w:tblGrid>
      <w:tr w:rsidR="00E713AC" w14:paraId="614FAADE" w14:textId="77777777" w:rsidTr="00E713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4" w:type="dxa"/>
            <w:tcBorders>
              <w:right w:val="single" w:sz="8" w:space="0" w:color="156082" w:themeColor="accent1"/>
            </w:tcBorders>
            <w:shd w:val="clear" w:color="auto" w:fill="D5E8F0"/>
          </w:tcPr>
          <w:p w14:paraId="37F6CCF9" w14:textId="77777777" w:rsidR="00E713AC" w:rsidRDefault="00000000">
            <w:pPr>
              <w:spacing w:after="0"/>
              <w:rPr>
                <w:rFonts w:eastAsiaTheme="majorEastAsia" w:cstheme="majorBidi"/>
                <w:b w:val="0"/>
                <w:bCs w:val="0"/>
              </w:rPr>
            </w:pPr>
            <w:r>
              <w:rPr>
                <w:rFonts w:eastAsiaTheme="majorEastAsia" w:cstheme="majorBidi"/>
              </w:rPr>
              <w:t>Year of Study</w:t>
            </w:r>
          </w:p>
        </w:tc>
        <w:tc>
          <w:tcPr>
            <w:tcW w:w="3260" w:type="dxa"/>
            <w:tcBorders>
              <w:right w:val="single" w:sz="8" w:space="0" w:color="156082" w:themeColor="accent1"/>
            </w:tcBorders>
            <w:shd w:val="clear" w:color="auto" w:fill="D5E8F0"/>
          </w:tcPr>
          <w:p w14:paraId="12223C7C" w14:textId="77777777" w:rsidR="00E713AC" w:rsidRDefault="00000000">
            <w:pPr>
              <w:spacing w:after="0"/>
              <w:cnfStyle w:val="100000000000" w:firstRow="1" w:lastRow="0" w:firstColumn="0" w:lastColumn="0" w:oddVBand="0" w:evenVBand="0" w:oddHBand="0" w:evenHBand="0" w:firstRowFirstColumn="0" w:firstRowLastColumn="0" w:lastRowFirstColumn="0" w:lastRowLastColumn="0"/>
              <w:rPr>
                <w:rFonts w:eastAsiaTheme="majorEastAsia" w:cstheme="majorBidi"/>
                <w:b w:val="0"/>
                <w:bCs w:val="0"/>
              </w:rPr>
            </w:pPr>
            <w:r>
              <w:rPr>
                <w:rFonts w:eastAsiaTheme="majorEastAsia" w:cstheme="majorBidi"/>
              </w:rPr>
              <w:t>Key Topics</w:t>
            </w:r>
          </w:p>
        </w:tc>
        <w:tc>
          <w:tcPr>
            <w:tcW w:w="3396" w:type="dxa"/>
            <w:shd w:val="clear" w:color="auto" w:fill="D5E8F0"/>
          </w:tcPr>
          <w:p w14:paraId="46771439" w14:textId="77777777" w:rsidR="00E713AC" w:rsidRDefault="00000000">
            <w:pPr>
              <w:spacing w:after="0"/>
              <w:cnfStyle w:val="100000000000" w:firstRow="1" w:lastRow="0" w:firstColumn="0" w:lastColumn="0" w:oddVBand="0" w:evenVBand="0" w:oddHBand="0" w:evenHBand="0" w:firstRowFirstColumn="0" w:firstRowLastColumn="0" w:lastRowFirstColumn="0" w:lastRowLastColumn="0"/>
              <w:rPr>
                <w:rFonts w:eastAsiaTheme="majorEastAsia" w:cstheme="majorBidi"/>
                <w:b w:val="0"/>
                <w:bCs w:val="0"/>
              </w:rPr>
            </w:pPr>
            <w:r>
              <w:rPr>
                <w:rFonts w:eastAsiaTheme="majorEastAsia" w:cstheme="majorBidi"/>
              </w:rPr>
              <w:t>Relevant Sections</w:t>
            </w:r>
          </w:p>
        </w:tc>
      </w:tr>
      <w:tr w:rsidR="00E713AC" w14:paraId="6427516F" w14:textId="77777777" w:rsidTr="00E713AC">
        <w:tc>
          <w:tcPr>
            <w:cnfStyle w:val="001000000000" w:firstRow="0" w:lastRow="0" w:firstColumn="1" w:lastColumn="0" w:oddVBand="0" w:evenVBand="0" w:oddHBand="0" w:evenHBand="0" w:firstRowFirstColumn="0" w:firstRowLastColumn="0" w:lastRowFirstColumn="0" w:lastRowLastColumn="0"/>
            <w:tcW w:w="2684" w:type="dxa"/>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p w14:paraId="485AF086" w14:textId="77777777" w:rsidR="00E713AC" w:rsidRDefault="00000000">
            <w:pPr>
              <w:spacing w:after="0"/>
              <w:rPr>
                <w:rFonts w:eastAsiaTheme="majorEastAsia" w:cstheme="majorBidi"/>
                <w:b w:val="0"/>
                <w:bCs w:val="0"/>
              </w:rPr>
            </w:pPr>
            <w:r>
              <w:rPr>
                <w:rFonts w:eastAsiaTheme="majorEastAsia" w:cstheme="majorBidi"/>
              </w:rPr>
              <w:t>Early Stage (Years 1-2)</w:t>
            </w:r>
          </w:p>
        </w:tc>
        <w:tc>
          <w:tcPr>
            <w:tcW w:w="3260" w:type="dxa"/>
            <w:tcBorders>
              <w:top w:val="single" w:sz="8" w:space="0" w:color="156082" w:themeColor="accent1"/>
              <w:bottom w:val="single" w:sz="8" w:space="0" w:color="156082" w:themeColor="accent1"/>
              <w:right w:val="single" w:sz="8" w:space="0" w:color="156082" w:themeColor="accent1"/>
            </w:tcBorders>
            <w:shd w:val="clear" w:color="auto" w:fill="B2DEF2" w:themeFill="accent1" w:themeFillTint="3F"/>
          </w:tcPr>
          <w:p w14:paraId="63CA1168" w14:textId="77777777" w:rsidR="00E713AC" w:rsidRDefault="00000000">
            <w:pPr>
              <w:spacing w:after="0"/>
              <w:cnfStyle w:val="000000000000" w:firstRow="0" w:lastRow="0" w:firstColumn="0" w:lastColumn="0" w:oddVBand="0" w:evenVBand="0" w:oddHBand="0" w:evenHBand="0" w:firstRowFirstColumn="0" w:firstRowLastColumn="0" w:lastRowFirstColumn="0" w:lastRowLastColumn="0"/>
            </w:pPr>
            <w:r>
              <w:t>Getting started, coursework, choosing supervisors, time management, research journals, developing practice</w:t>
            </w:r>
          </w:p>
        </w:tc>
        <w:tc>
          <w:tcPr>
            <w:tcW w:w="3396" w:type="dxa"/>
            <w:tcBorders>
              <w:top w:val="single" w:sz="8" w:space="0" w:color="156082" w:themeColor="accent1"/>
              <w:bottom w:val="single" w:sz="8" w:space="0" w:color="156082" w:themeColor="accent1"/>
              <w:right w:val="single" w:sz="8" w:space="0" w:color="156082" w:themeColor="accent1"/>
            </w:tcBorders>
            <w:shd w:val="clear" w:color="auto" w:fill="B2DEF2" w:themeFill="accent1" w:themeFillTint="3F"/>
          </w:tcPr>
          <w:p w14:paraId="5A0A9C9E" w14:textId="77777777" w:rsidR="00E713AC" w:rsidRDefault="00000000">
            <w:pPr>
              <w:spacing w:after="0"/>
              <w:cnfStyle w:val="000000000000" w:firstRow="0" w:lastRow="0" w:firstColumn="0" w:lastColumn="0" w:oddVBand="0" w:evenVBand="0" w:oddHBand="0" w:evenHBand="0" w:firstRowFirstColumn="0" w:firstRowLastColumn="0" w:lastRowFirstColumn="0" w:lastRowLastColumn="0"/>
            </w:pPr>
            <w:r>
              <w:t xml:space="preserve">Part 1: Foundations </w:t>
            </w:r>
          </w:p>
        </w:tc>
      </w:tr>
      <w:tr w:rsidR="00E713AC" w14:paraId="5745B847" w14:textId="77777777" w:rsidTr="00E713AC">
        <w:tc>
          <w:tcPr>
            <w:cnfStyle w:val="001000000000" w:firstRow="0" w:lastRow="0" w:firstColumn="1" w:lastColumn="0" w:oddVBand="0" w:evenVBand="0" w:oddHBand="0" w:evenHBand="0" w:firstRowFirstColumn="0" w:firstRowLastColumn="0" w:lastRowFirstColumn="0" w:lastRowLastColumn="0"/>
            <w:tcW w:w="2684" w:type="dxa"/>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p w14:paraId="536BE8B6" w14:textId="77777777" w:rsidR="00E713AC" w:rsidRDefault="00000000">
            <w:pPr>
              <w:spacing w:after="0"/>
              <w:rPr>
                <w:rFonts w:eastAsiaTheme="majorEastAsia" w:cstheme="majorBidi"/>
                <w:b w:val="0"/>
                <w:bCs w:val="0"/>
              </w:rPr>
            </w:pPr>
            <w:r>
              <w:rPr>
                <w:rFonts w:eastAsiaTheme="majorEastAsia" w:cstheme="majorBidi"/>
              </w:rPr>
              <w:t>Mid Stage (Year 2)</w:t>
            </w:r>
          </w:p>
        </w:tc>
        <w:tc>
          <w:tcPr>
            <w:tcW w:w="3260" w:type="dxa"/>
            <w:tcBorders>
              <w:top w:val="single" w:sz="8" w:space="0" w:color="156082" w:themeColor="accent1"/>
              <w:bottom w:val="single" w:sz="8" w:space="0" w:color="156082" w:themeColor="accent1"/>
              <w:right w:val="single" w:sz="8" w:space="0" w:color="156082" w:themeColor="accent1"/>
            </w:tcBorders>
          </w:tcPr>
          <w:p w14:paraId="6DCB82B4" w14:textId="77777777" w:rsidR="00E713AC" w:rsidRDefault="00000000">
            <w:pPr>
              <w:spacing w:after="0"/>
              <w:cnfStyle w:val="000000000000" w:firstRow="0" w:lastRow="0" w:firstColumn="0" w:lastColumn="0" w:oddVBand="0" w:evenVBand="0" w:oddHBand="0" w:evenHBand="0" w:firstRowFirstColumn="0" w:firstRowLastColumn="0" w:lastRowFirstColumn="0" w:lastRowLastColumn="0"/>
            </w:pPr>
            <w:r>
              <w:t>Research questions, literature review, proposal development, QE preparation</w:t>
            </w:r>
          </w:p>
        </w:tc>
        <w:tc>
          <w:tcPr>
            <w:tcW w:w="3396" w:type="dxa"/>
            <w:tcBorders>
              <w:top w:val="single" w:sz="8" w:space="0" w:color="156082" w:themeColor="accent1"/>
              <w:bottom w:val="single" w:sz="8" w:space="0" w:color="156082" w:themeColor="accent1"/>
              <w:right w:val="single" w:sz="8" w:space="0" w:color="156082" w:themeColor="accent1"/>
            </w:tcBorders>
          </w:tcPr>
          <w:p w14:paraId="33622582" w14:textId="77777777" w:rsidR="00E713AC" w:rsidRDefault="00000000">
            <w:pPr>
              <w:spacing w:after="0"/>
              <w:cnfStyle w:val="000000000000" w:firstRow="0" w:lastRow="0" w:firstColumn="0" w:lastColumn="0" w:oddVBand="0" w:evenVBand="0" w:oddHBand="0" w:evenHBand="0" w:firstRowFirstColumn="0" w:firstRowLastColumn="0" w:lastRowFirstColumn="0" w:lastRowLastColumn="0"/>
            </w:pPr>
            <w:r>
              <w:t xml:space="preserve">Part 2: Defining Your Research </w:t>
            </w:r>
          </w:p>
        </w:tc>
      </w:tr>
      <w:tr w:rsidR="00E713AC" w14:paraId="12010DAF" w14:textId="77777777" w:rsidTr="00E713AC">
        <w:tc>
          <w:tcPr>
            <w:cnfStyle w:val="001000000000" w:firstRow="0" w:lastRow="0" w:firstColumn="1" w:lastColumn="0" w:oddVBand="0" w:evenVBand="0" w:oddHBand="0" w:evenHBand="0" w:firstRowFirstColumn="0" w:firstRowLastColumn="0" w:lastRowFirstColumn="0" w:lastRowLastColumn="0"/>
            <w:tcW w:w="2684" w:type="dxa"/>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p w14:paraId="28BB63A5" w14:textId="77777777" w:rsidR="00E713AC" w:rsidRDefault="00000000">
            <w:pPr>
              <w:spacing w:after="0"/>
              <w:rPr>
                <w:rFonts w:eastAsiaTheme="majorEastAsia" w:cstheme="majorBidi"/>
                <w:b w:val="0"/>
                <w:bCs w:val="0"/>
              </w:rPr>
            </w:pPr>
            <w:r>
              <w:rPr>
                <w:rFonts w:eastAsiaTheme="majorEastAsia" w:cstheme="majorBidi"/>
              </w:rPr>
              <w:t xml:space="preserve">Mid-to-Late Stage </w:t>
            </w:r>
          </w:p>
        </w:tc>
        <w:tc>
          <w:tcPr>
            <w:tcW w:w="3260" w:type="dxa"/>
            <w:tcBorders>
              <w:top w:val="single" w:sz="8" w:space="0" w:color="156082" w:themeColor="accent1"/>
              <w:bottom w:val="single" w:sz="8" w:space="0" w:color="156082" w:themeColor="accent1"/>
              <w:right w:val="single" w:sz="8" w:space="0" w:color="156082" w:themeColor="accent1"/>
            </w:tcBorders>
            <w:shd w:val="clear" w:color="auto" w:fill="B2DEF2" w:themeFill="accent1" w:themeFillTint="3F"/>
          </w:tcPr>
          <w:p w14:paraId="37EA8157" w14:textId="77777777" w:rsidR="00E713AC" w:rsidRDefault="00000000">
            <w:pPr>
              <w:spacing w:after="0"/>
              <w:cnfStyle w:val="000000000000" w:firstRow="0" w:lastRow="0" w:firstColumn="0" w:lastColumn="0" w:oddVBand="0" w:evenVBand="0" w:oddHBand="0" w:evenHBand="0" w:firstRowFirstColumn="0" w:firstRowLastColumn="0" w:lastRowFirstColumn="0" w:lastRowLastColumn="0"/>
            </w:pPr>
            <w:r>
              <w:t>Methodologies, documentation, studio practice as research</w:t>
            </w:r>
          </w:p>
        </w:tc>
        <w:tc>
          <w:tcPr>
            <w:tcW w:w="3396" w:type="dxa"/>
            <w:tcBorders>
              <w:top w:val="single" w:sz="8" w:space="0" w:color="156082" w:themeColor="accent1"/>
              <w:bottom w:val="single" w:sz="8" w:space="0" w:color="156082" w:themeColor="accent1"/>
              <w:right w:val="single" w:sz="8" w:space="0" w:color="156082" w:themeColor="accent1"/>
            </w:tcBorders>
            <w:shd w:val="clear" w:color="auto" w:fill="B2DEF2" w:themeFill="accent1" w:themeFillTint="3F"/>
          </w:tcPr>
          <w:p w14:paraId="3A70BCA0" w14:textId="77777777" w:rsidR="00E713AC" w:rsidRDefault="00000000">
            <w:pPr>
              <w:spacing w:after="0"/>
              <w:cnfStyle w:val="000000000000" w:firstRow="0" w:lastRow="0" w:firstColumn="0" w:lastColumn="0" w:oddVBand="0" w:evenVBand="0" w:oddHBand="0" w:evenHBand="0" w:firstRowFirstColumn="0" w:firstRowLastColumn="0" w:lastRowFirstColumn="0" w:lastRowLastColumn="0"/>
            </w:pPr>
            <w:r>
              <w:t>Part 3: The Artist as Researcher</w:t>
            </w:r>
          </w:p>
        </w:tc>
      </w:tr>
      <w:tr w:rsidR="00E713AC" w14:paraId="182E8251" w14:textId="77777777" w:rsidTr="00E713AC">
        <w:tc>
          <w:tcPr>
            <w:cnfStyle w:val="001000000000" w:firstRow="0" w:lastRow="0" w:firstColumn="1" w:lastColumn="0" w:oddVBand="0" w:evenVBand="0" w:oddHBand="0" w:evenHBand="0" w:firstRowFirstColumn="0" w:firstRowLastColumn="0" w:lastRowFirstColumn="0" w:lastRowLastColumn="0"/>
            <w:tcW w:w="2684" w:type="dxa"/>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p w14:paraId="4D76B7F5" w14:textId="77777777" w:rsidR="00E713AC" w:rsidRDefault="00000000">
            <w:pPr>
              <w:spacing w:after="0"/>
              <w:rPr>
                <w:rFonts w:eastAsiaTheme="majorEastAsia" w:cstheme="majorBidi"/>
                <w:b w:val="0"/>
                <w:bCs w:val="0"/>
              </w:rPr>
            </w:pPr>
            <w:r>
              <w:rPr>
                <w:rFonts w:eastAsiaTheme="majorEastAsia" w:cstheme="majorBidi"/>
              </w:rPr>
              <w:t>Final Stage (Years 3-4)</w:t>
            </w:r>
          </w:p>
        </w:tc>
        <w:tc>
          <w:tcPr>
            <w:tcW w:w="3260" w:type="dxa"/>
            <w:tcBorders>
              <w:top w:val="single" w:sz="8" w:space="0" w:color="156082" w:themeColor="accent1"/>
              <w:bottom w:val="single" w:sz="8" w:space="0" w:color="156082" w:themeColor="accent1"/>
              <w:right w:val="single" w:sz="8" w:space="0" w:color="156082" w:themeColor="accent1"/>
            </w:tcBorders>
          </w:tcPr>
          <w:p w14:paraId="5E7C137C" w14:textId="77777777" w:rsidR="00E713AC" w:rsidRDefault="00000000">
            <w:pPr>
              <w:spacing w:after="0"/>
              <w:cnfStyle w:val="000000000000" w:firstRow="0" w:lastRow="0" w:firstColumn="0" w:lastColumn="0" w:oddVBand="0" w:evenVBand="0" w:oddHBand="0" w:evenHBand="0" w:firstRowFirstColumn="0" w:firstRowLastColumn="0" w:lastRowFirstColumn="0" w:lastRowLastColumn="0"/>
            </w:pPr>
            <w:r>
              <w:t>Thesis writing, exhibition planning, Thesis Proposal Assessment (TPA), Thesis defense preparation</w:t>
            </w:r>
          </w:p>
        </w:tc>
        <w:tc>
          <w:tcPr>
            <w:tcW w:w="3396" w:type="dxa"/>
            <w:tcBorders>
              <w:top w:val="single" w:sz="8" w:space="0" w:color="156082" w:themeColor="accent1"/>
              <w:bottom w:val="single" w:sz="8" w:space="0" w:color="156082" w:themeColor="accent1"/>
              <w:right w:val="single" w:sz="8" w:space="0" w:color="156082" w:themeColor="accent1"/>
            </w:tcBorders>
          </w:tcPr>
          <w:p w14:paraId="590461F3" w14:textId="77777777" w:rsidR="00E713AC" w:rsidRDefault="00000000">
            <w:pPr>
              <w:spacing w:after="0"/>
              <w:cnfStyle w:val="000000000000" w:firstRow="0" w:lastRow="0" w:firstColumn="0" w:lastColumn="0" w:oddVBand="0" w:evenVBand="0" w:oddHBand="0" w:evenHBand="0" w:firstRowFirstColumn="0" w:firstRowLastColumn="0" w:lastRowFirstColumn="0" w:lastRowLastColumn="0"/>
            </w:pPr>
            <w:r>
              <w:t xml:space="preserve">Part 4: Thesis and Examination </w:t>
            </w:r>
          </w:p>
        </w:tc>
      </w:tr>
      <w:tr w:rsidR="00E713AC" w14:paraId="7773B1AD" w14:textId="77777777" w:rsidTr="00E713AC">
        <w:trPr>
          <w:trHeight w:val="338"/>
        </w:trPr>
        <w:tc>
          <w:tcPr>
            <w:cnfStyle w:val="001000000000" w:firstRow="0" w:lastRow="0" w:firstColumn="1" w:lastColumn="0" w:oddVBand="0" w:evenVBand="0" w:oddHBand="0" w:evenHBand="0" w:firstRowFirstColumn="0" w:firstRowLastColumn="0" w:lastRowFirstColumn="0" w:lastRowLastColumn="0"/>
            <w:tcW w:w="9340" w:type="dxa"/>
            <w:gridSpan w:val="3"/>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E8F4F8"/>
          </w:tcPr>
          <w:p w14:paraId="4B4A2B80" w14:textId="77777777" w:rsidR="00E713AC" w:rsidRDefault="00000000">
            <w:pPr>
              <w:spacing w:after="0"/>
              <w:jc w:val="center"/>
              <w:rPr>
                <w:rFonts w:eastAsiaTheme="majorEastAsia" w:cstheme="majorBidi"/>
                <w:b w:val="0"/>
                <w:bCs w:val="0"/>
              </w:rPr>
            </w:pPr>
            <w:r>
              <w:rPr>
                <w:rFonts w:eastAsiaTheme="majorEastAsia" w:cstheme="majorBidi"/>
              </w:rPr>
              <w:t>Navigate by Topic</w:t>
            </w:r>
          </w:p>
        </w:tc>
      </w:tr>
      <w:tr w:rsidR="00E713AC" w14:paraId="7F2806A5" w14:textId="77777777" w:rsidTr="00E713AC">
        <w:trPr>
          <w:trHeight w:val="931"/>
        </w:trPr>
        <w:tc>
          <w:tcPr>
            <w:cnfStyle w:val="001000000000" w:firstRow="0" w:lastRow="0" w:firstColumn="1" w:lastColumn="0" w:oddVBand="0" w:evenVBand="0" w:oddHBand="0" w:evenHBand="0" w:firstRowFirstColumn="0" w:firstRowLastColumn="0" w:lastRowFirstColumn="0" w:lastRowLastColumn="0"/>
            <w:tcW w:w="2684" w:type="dxa"/>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p w14:paraId="2C74346F" w14:textId="77777777" w:rsidR="00E713AC" w:rsidRDefault="00000000">
            <w:pPr>
              <w:spacing w:after="0"/>
              <w:rPr>
                <w:rFonts w:eastAsiaTheme="majorEastAsia" w:cstheme="majorBidi"/>
                <w:b w:val="0"/>
                <w:bCs w:val="0"/>
              </w:rPr>
            </w:pPr>
            <w:r>
              <w:rPr>
                <w:rFonts w:eastAsiaTheme="majorEastAsia" w:cstheme="majorBidi"/>
              </w:rPr>
              <w:t>Writing</w:t>
            </w:r>
          </w:p>
        </w:tc>
        <w:tc>
          <w:tcPr>
            <w:tcW w:w="3260" w:type="dxa"/>
            <w:tcBorders>
              <w:top w:val="single" w:sz="8" w:space="0" w:color="156082" w:themeColor="accent1"/>
              <w:bottom w:val="single" w:sz="8" w:space="0" w:color="156082" w:themeColor="accent1"/>
              <w:right w:val="single" w:sz="8" w:space="0" w:color="156082" w:themeColor="accent1"/>
            </w:tcBorders>
          </w:tcPr>
          <w:p w14:paraId="010C4019" w14:textId="77777777" w:rsidR="00E713AC" w:rsidRDefault="00000000">
            <w:pPr>
              <w:spacing w:after="0"/>
              <w:cnfStyle w:val="000000000000" w:firstRow="0" w:lastRow="0" w:firstColumn="0" w:lastColumn="0" w:oddVBand="0" w:evenVBand="0" w:oddHBand="0" w:evenHBand="0" w:firstRowFirstColumn="0" w:firstRowLastColumn="0" w:lastRowFirstColumn="0" w:lastRowLastColumn="0"/>
            </w:pPr>
            <w:r>
              <w:t>Academic writing, voice, structure, integrating visuals, Literature review</w:t>
            </w:r>
          </w:p>
        </w:tc>
        <w:tc>
          <w:tcPr>
            <w:tcW w:w="3396" w:type="dxa"/>
            <w:tcBorders>
              <w:top w:val="single" w:sz="8" w:space="0" w:color="156082" w:themeColor="accent1"/>
              <w:bottom w:val="single" w:sz="8" w:space="0" w:color="156082" w:themeColor="accent1"/>
              <w:right w:val="single" w:sz="8" w:space="0" w:color="156082" w:themeColor="accent1"/>
            </w:tcBorders>
          </w:tcPr>
          <w:p w14:paraId="4E03B448" w14:textId="77777777" w:rsidR="00E713AC" w:rsidRDefault="00000000">
            <w:pPr>
              <w:spacing w:after="0"/>
              <w:cnfStyle w:val="000000000000" w:firstRow="0" w:lastRow="0" w:firstColumn="0" w:lastColumn="0" w:oddVBand="0" w:evenVBand="0" w:oddHBand="0" w:evenHBand="0" w:firstRowFirstColumn="0" w:firstRowLastColumn="0" w:lastRowFirstColumn="0" w:lastRowLastColumn="0"/>
            </w:pPr>
            <w:r>
              <w:t>Part 3 → Academic Writing for Artists</w:t>
            </w:r>
          </w:p>
        </w:tc>
      </w:tr>
      <w:tr w:rsidR="00E713AC" w14:paraId="622DA327" w14:textId="77777777" w:rsidTr="00E713AC">
        <w:tc>
          <w:tcPr>
            <w:cnfStyle w:val="001000000000" w:firstRow="0" w:lastRow="0" w:firstColumn="1" w:lastColumn="0" w:oddVBand="0" w:evenVBand="0" w:oddHBand="0" w:evenHBand="0" w:firstRowFirstColumn="0" w:firstRowLastColumn="0" w:lastRowFirstColumn="0" w:lastRowLastColumn="0"/>
            <w:tcW w:w="2684" w:type="dxa"/>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p w14:paraId="3D93E11A" w14:textId="77777777" w:rsidR="00E713AC" w:rsidRDefault="00000000">
            <w:pPr>
              <w:spacing w:after="0"/>
              <w:rPr>
                <w:rFonts w:eastAsiaTheme="majorEastAsia" w:cstheme="majorBidi"/>
                <w:b w:val="0"/>
                <w:bCs w:val="0"/>
              </w:rPr>
            </w:pPr>
            <w:r>
              <w:rPr>
                <w:rFonts w:eastAsiaTheme="majorEastAsia" w:cstheme="majorBidi"/>
              </w:rPr>
              <w:t>AI Usage</w:t>
            </w:r>
          </w:p>
        </w:tc>
        <w:tc>
          <w:tcPr>
            <w:tcW w:w="3260" w:type="dxa"/>
            <w:tcBorders>
              <w:top w:val="single" w:sz="8" w:space="0" w:color="156082" w:themeColor="accent1"/>
              <w:bottom w:val="single" w:sz="8" w:space="0" w:color="156082" w:themeColor="accent1"/>
              <w:right w:val="single" w:sz="8" w:space="0" w:color="156082" w:themeColor="accent1"/>
            </w:tcBorders>
            <w:shd w:val="clear" w:color="auto" w:fill="B2DEF2" w:themeFill="accent1" w:themeFillTint="3F"/>
          </w:tcPr>
          <w:p w14:paraId="6D2F7158" w14:textId="77777777" w:rsidR="00E713AC" w:rsidRDefault="00000000">
            <w:pPr>
              <w:spacing w:after="0"/>
              <w:cnfStyle w:val="000000000000" w:firstRow="0" w:lastRow="0" w:firstColumn="0" w:lastColumn="0" w:oddVBand="0" w:evenVBand="0" w:oddHBand="0" w:evenHBand="0" w:firstRowFirstColumn="0" w:firstRowLastColumn="0" w:lastRowFirstColumn="0" w:lastRowLastColumn="0"/>
            </w:pPr>
            <w:r>
              <w:t>Ethical use of AI tools, guidelines, acceptable / unacceptable uses</w:t>
            </w:r>
          </w:p>
        </w:tc>
        <w:tc>
          <w:tcPr>
            <w:tcW w:w="3396" w:type="dxa"/>
            <w:tcBorders>
              <w:top w:val="single" w:sz="8" w:space="0" w:color="156082" w:themeColor="accent1"/>
              <w:bottom w:val="single" w:sz="8" w:space="0" w:color="156082" w:themeColor="accent1"/>
              <w:right w:val="single" w:sz="8" w:space="0" w:color="156082" w:themeColor="accent1"/>
            </w:tcBorders>
            <w:shd w:val="clear" w:color="auto" w:fill="B2DEF2" w:themeFill="accent1" w:themeFillTint="3F"/>
          </w:tcPr>
          <w:p w14:paraId="501C2113" w14:textId="77777777" w:rsidR="00E713AC" w:rsidRDefault="00000000">
            <w:pPr>
              <w:spacing w:after="0"/>
              <w:cnfStyle w:val="000000000000" w:firstRow="0" w:lastRow="0" w:firstColumn="0" w:lastColumn="0" w:oddVBand="0" w:evenVBand="0" w:oddHBand="0" w:evenHBand="0" w:firstRowFirstColumn="0" w:firstRowLastColumn="0" w:lastRowFirstColumn="0" w:lastRowLastColumn="0"/>
            </w:pPr>
            <w:r>
              <w:t>Part 3 → Using AI Effectively and Ethically</w:t>
            </w:r>
          </w:p>
        </w:tc>
      </w:tr>
      <w:tr w:rsidR="00E713AC" w14:paraId="7688E4D2" w14:textId="77777777" w:rsidTr="00E713AC">
        <w:tc>
          <w:tcPr>
            <w:cnfStyle w:val="001000000000" w:firstRow="0" w:lastRow="0" w:firstColumn="1" w:lastColumn="0" w:oddVBand="0" w:evenVBand="0" w:oddHBand="0" w:evenHBand="0" w:firstRowFirstColumn="0" w:firstRowLastColumn="0" w:lastRowFirstColumn="0" w:lastRowLastColumn="0"/>
            <w:tcW w:w="2684" w:type="dxa"/>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p w14:paraId="0BD8F36D" w14:textId="77777777" w:rsidR="00E713AC" w:rsidRDefault="00000000">
            <w:pPr>
              <w:spacing w:after="0"/>
              <w:rPr>
                <w:rFonts w:eastAsiaTheme="majorEastAsia" w:cstheme="majorBidi"/>
                <w:b w:val="0"/>
                <w:bCs w:val="0"/>
              </w:rPr>
            </w:pPr>
            <w:r>
              <w:rPr>
                <w:rFonts w:eastAsiaTheme="majorEastAsia" w:cstheme="majorBidi"/>
              </w:rPr>
              <w:t>Citations</w:t>
            </w:r>
          </w:p>
        </w:tc>
        <w:tc>
          <w:tcPr>
            <w:tcW w:w="3260" w:type="dxa"/>
            <w:tcBorders>
              <w:top w:val="single" w:sz="8" w:space="0" w:color="156082" w:themeColor="accent1"/>
              <w:bottom w:val="single" w:sz="8" w:space="0" w:color="156082" w:themeColor="accent1"/>
              <w:right w:val="single" w:sz="8" w:space="0" w:color="156082" w:themeColor="accent1"/>
            </w:tcBorders>
          </w:tcPr>
          <w:p w14:paraId="1CFF516D" w14:textId="77777777" w:rsidR="00E713AC" w:rsidRDefault="00000000">
            <w:pPr>
              <w:spacing w:after="0"/>
              <w:cnfStyle w:val="000000000000" w:firstRow="0" w:lastRow="0" w:firstColumn="0" w:lastColumn="0" w:oddVBand="0" w:evenVBand="0" w:oddHBand="0" w:evenHBand="0" w:firstRowFirstColumn="0" w:firstRowLastColumn="0" w:lastRowFirstColumn="0" w:lastRowLastColumn="0"/>
            </w:pPr>
            <w:r>
              <w:t>Citation styles, non-traditional sources, bibliography</w:t>
            </w:r>
          </w:p>
        </w:tc>
        <w:tc>
          <w:tcPr>
            <w:tcW w:w="3396" w:type="dxa"/>
            <w:tcBorders>
              <w:top w:val="single" w:sz="8" w:space="0" w:color="156082" w:themeColor="accent1"/>
              <w:bottom w:val="single" w:sz="8" w:space="0" w:color="156082" w:themeColor="accent1"/>
              <w:right w:val="single" w:sz="8" w:space="0" w:color="156082" w:themeColor="accent1"/>
            </w:tcBorders>
          </w:tcPr>
          <w:p w14:paraId="09E37840" w14:textId="77777777" w:rsidR="00E713AC" w:rsidRDefault="00000000">
            <w:pPr>
              <w:spacing w:after="0"/>
              <w:cnfStyle w:val="000000000000" w:firstRow="0" w:lastRow="0" w:firstColumn="0" w:lastColumn="0" w:oddVBand="0" w:evenVBand="0" w:oddHBand="0" w:evenHBand="0" w:firstRowFirstColumn="0" w:firstRowLastColumn="0" w:lastRowFirstColumn="0" w:lastRowLastColumn="0"/>
            </w:pPr>
            <w:r>
              <w:t>Part 3 → Citing Your Sources</w:t>
            </w:r>
          </w:p>
        </w:tc>
      </w:tr>
      <w:tr w:rsidR="00E713AC" w14:paraId="5728ACC0" w14:textId="77777777" w:rsidTr="00E713AC">
        <w:tc>
          <w:tcPr>
            <w:cnfStyle w:val="001000000000" w:firstRow="0" w:lastRow="0" w:firstColumn="1" w:lastColumn="0" w:oddVBand="0" w:evenVBand="0" w:oddHBand="0" w:evenHBand="0" w:firstRowFirstColumn="0" w:firstRowLastColumn="0" w:lastRowFirstColumn="0" w:lastRowLastColumn="0"/>
            <w:tcW w:w="2684" w:type="dxa"/>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p w14:paraId="7CBF479E" w14:textId="77777777" w:rsidR="00E713AC" w:rsidRDefault="00000000">
            <w:pPr>
              <w:spacing w:after="0"/>
              <w:rPr>
                <w:rFonts w:eastAsiaTheme="majorEastAsia" w:cstheme="majorBidi"/>
                <w:b w:val="0"/>
                <w:bCs w:val="0"/>
              </w:rPr>
            </w:pPr>
            <w:r>
              <w:rPr>
                <w:rFonts w:eastAsiaTheme="majorEastAsia" w:cstheme="majorBidi"/>
              </w:rPr>
              <w:t>Well-being</w:t>
            </w:r>
          </w:p>
        </w:tc>
        <w:tc>
          <w:tcPr>
            <w:tcW w:w="3260" w:type="dxa"/>
            <w:tcBorders>
              <w:top w:val="single" w:sz="8" w:space="0" w:color="156082" w:themeColor="accent1"/>
              <w:bottom w:val="single" w:sz="8" w:space="0" w:color="156082" w:themeColor="accent1"/>
              <w:right w:val="single" w:sz="8" w:space="0" w:color="156082" w:themeColor="accent1"/>
            </w:tcBorders>
            <w:shd w:val="clear" w:color="auto" w:fill="B2DEF2" w:themeFill="accent1" w:themeFillTint="3F"/>
          </w:tcPr>
          <w:p w14:paraId="512B77DA" w14:textId="77777777" w:rsidR="00E713AC" w:rsidRDefault="00000000">
            <w:pPr>
              <w:spacing w:after="0"/>
              <w:cnfStyle w:val="000000000000" w:firstRow="0" w:lastRow="0" w:firstColumn="0" w:lastColumn="0" w:oddVBand="0" w:evenVBand="0" w:oddHBand="0" w:evenHBand="0" w:firstRowFirstColumn="0" w:firstRowLastColumn="0" w:lastRowFirstColumn="0" w:lastRowLastColumn="0"/>
            </w:pPr>
            <w:r>
              <w:t>Mental health, physical health, sleep, managing stress</w:t>
            </w:r>
          </w:p>
        </w:tc>
        <w:tc>
          <w:tcPr>
            <w:tcW w:w="3396" w:type="dxa"/>
            <w:tcBorders>
              <w:top w:val="single" w:sz="8" w:space="0" w:color="156082" w:themeColor="accent1"/>
              <w:bottom w:val="single" w:sz="8" w:space="0" w:color="156082" w:themeColor="accent1"/>
              <w:right w:val="single" w:sz="8" w:space="0" w:color="156082" w:themeColor="accent1"/>
            </w:tcBorders>
            <w:shd w:val="clear" w:color="auto" w:fill="B2DEF2" w:themeFill="accent1" w:themeFillTint="3F"/>
          </w:tcPr>
          <w:p w14:paraId="0BA1BEFD" w14:textId="77777777" w:rsidR="00E713AC" w:rsidRDefault="00000000">
            <w:pPr>
              <w:spacing w:after="0"/>
              <w:cnfStyle w:val="000000000000" w:firstRow="0" w:lastRow="0" w:firstColumn="0" w:lastColumn="0" w:oddVBand="0" w:evenVBand="0" w:oddHBand="0" w:evenHBand="0" w:firstRowFirstColumn="0" w:firstRowLastColumn="0" w:lastRowFirstColumn="0" w:lastRowLastColumn="0"/>
            </w:pPr>
            <w:r>
              <w:t>Part 5 → Your Well-being</w:t>
            </w:r>
          </w:p>
        </w:tc>
      </w:tr>
      <w:tr w:rsidR="00E713AC" w14:paraId="44A7B0B9" w14:textId="77777777" w:rsidTr="00E713AC">
        <w:tc>
          <w:tcPr>
            <w:cnfStyle w:val="001000000000" w:firstRow="0" w:lastRow="0" w:firstColumn="1" w:lastColumn="0" w:oddVBand="0" w:evenVBand="0" w:oddHBand="0" w:evenHBand="0" w:firstRowFirstColumn="0" w:firstRowLastColumn="0" w:lastRowFirstColumn="0" w:lastRowLastColumn="0"/>
            <w:tcW w:w="2684" w:type="dxa"/>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p w14:paraId="4E782E78" w14:textId="77777777" w:rsidR="00E713AC" w:rsidRDefault="00000000">
            <w:pPr>
              <w:spacing w:after="0"/>
              <w:rPr>
                <w:rFonts w:eastAsiaTheme="majorEastAsia" w:cstheme="majorBidi"/>
                <w:b w:val="0"/>
                <w:bCs w:val="0"/>
              </w:rPr>
            </w:pPr>
            <w:r>
              <w:rPr>
                <w:rFonts w:eastAsiaTheme="majorEastAsia" w:cstheme="majorBidi"/>
              </w:rPr>
              <w:t>Career Planning</w:t>
            </w:r>
          </w:p>
        </w:tc>
        <w:tc>
          <w:tcPr>
            <w:tcW w:w="3260" w:type="dxa"/>
            <w:tcBorders>
              <w:top w:val="single" w:sz="8" w:space="0" w:color="156082" w:themeColor="accent1"/>
              <w:bottom w:val="single" w:sz="8" w:space="0" w:color="156082" w:themeColor="accent1"/>
              <w:right w:val="single" w:sz="8" w:space="0" w:color="156082" w:themeColor="accent1"/>
            </w:tcBorders>
          </w:tcPr>
          <w:p w14:paraId="739BA0EF" w14:textId="77777777" w:rsidR="00E713AC" w:rsidRDefault="00000000">
            <w:pPr>
              <w:spacing w:after="0"/>
              <w:cnfStyle w:val="000000000000" w:firstRow="0" w:lastRow="0" w:firstColumn="0" w:lastColumn="0" w:oddVBand="0" w:evenVBand="0" w:oddHBand="0" w:evenHBand="0" w:firstRowFirstColumn="0" w:firstRowLastColumn="0" w:lastRowFirstColumn="0" w:lastRowLastColumn="0"/>
            </w:pPr>
            <w:r>
              <w:t>Publishing, conferences, academia, art world careers</w:t>
            </w:r>
          </w:p>
        </w:tc>
        <w:tc>
          <w:tcPr>
            <w:tcW w:w="3396" w:type="dxa"/>
            <w:tcBorders>
              <w:top w:val="single" w:sz="8" w:space="0" w:color="156082" w:themeColor="accent1"/>
              <w:bottom w:val="single" w:sz="8" w:space="0" w:color="156082" w:themeColor="accent1"/>
              <w:right w:val="single" w:sz="8" w:space="0" w:color="156082" w:themeColor="accent1"/>
            </w:tcBorders>
          </w:tcPr>
          <w:p w14:paraId="3479EDE1" w14:textId="77777777" w:rsidR="00E713AC" w:rsidRDefault="00000000">
            <w:pPr>
              <w:spacing w:after="0"/>
              <w:cnfStyle w:val="000000000000" w:firstRow="0" w:lastRow="0" w:firstColumn="0" w:lastColumn="0" w:oddVBand="0" w:evenVBand="0" w:oddHBand="0" w:evenHBand="0" w:firstRowFirstColumn="0" w:firstRowLastColumn="0" w:lastRowFirstColumn="0" w:lastRowLastColumn="0"/>
            </w:pPr>
            <w:r>
              <w:t>Part 5 → Beyond the Doctorate</w:t>
            </w:r>
          </w:p>
        </w:tc>
      </w:tr>
      <w:tr w:rsidR="00E713AC" w14:paraId="3EDFF9A8" w14:textId="77777777" w:rsidTr="00E713AC">
        <w:tc>
          <w:tcPr>
            <w:cnfStyle w:val="001000000000" w:firstRow="0" w:lastRow="0" w:firstColumn="1" w:lastColumn="0" w:oddVBand="0" w:evenVBand="0" w:oddHBand="0" w:evenHBand="0" w:firstRowFirstColumn="0" w:firstRowLastColumn="0" w:lastRowFirstColumn="0" w:lastRowLastColumn="0"/>
            <w:tcW w:w="2684" w:type="dxa"/>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p w14:paraId="703376D5" w14:textId="77777777" w:rsidR="00E713AC" w:rsidRDefault="00000000">
            <w:pPr>
              <w:spacing w:after="0"/>
              <w:rPr>
                <w:rFonts w:eastAsiaTheme="majorEastAsia" w:cstheme="majorBidi"/>
                <w:b w:val="0"/>
                <w:bCs w:val="0"/>
              </w:rPr>
            </w:pPr>
            <w:r>
              <w:rPr>
                <w:rFonts w:eastAsiaTheme="majorEastAsia" w:cstheme="majorBidi"/>
              </w:rPr>
              <w:t>Resources</w:t>
            </w:r>
          </w:p>
        </w:tc>
        <w:tc>
          <w:tcPr>
            <w:tcW w:w="3260" w:type="dxa"/>
            <w:tcBorders>
              <w:top w:val="single" w:sz="8" w:space="0" w:color="156082" w:themeColor="accent1"/>
              <w:bottom w:val="single" w:sz="8" w:space="0" w:color="156082" w:themeColor="accent1"/>
              <w:right w:val="single" w:sz="8" w:space="0" w:color="156082" w:themeColor="accent1"/>
            </w:tcBorders>
            <w:shd w:val="clear" w:color="auto" w:fill="B2DEF2" w:themeFill="accent1" w:themeFillTint="3F"/>
          </w:tcPr>
          <w:p w14:paraId="0162AA1E" w14:textId="77777777" w:rsidR="00E713AC" w:rsidRDefault="00000000">
            <w:pPr>
              <w:spacing w:after="0"/>
              <w:cnfStyle w:val="000000000000" w:firstRow="0" w:lastRow="0" w:firstColumn="0" w:lastColumn="0" w:oddVBand="0" w:evenVBand="0" w:oddHBand="0" w:evenHBand="0" w:firstRowFirstColumn="0" w:firstRowLastColumn="0" w:lastRowFirstColumn="0" w:lastRowLastColumn="0"/>
            </w:pPr>
            <w:r>
              <w:t>Key texts, journals, University services, external resources, Thesis structure</w:t>
            </w:r>
          </w:p>
        </w:tc>
        <w:tc>
          <w:tcPr>
            <w:tcW w:w="3396" w:type="dxa"/>
            <w:tcBorders>
              <w:top w:val="single" w:sz="8" w:space="0" w:color="156082" w:themeColor="accent1"/>
              <w:bottom w:val="single" w:sz="8" w:space="0" w:color="156082" w:themeColor="accent1"/>
              <w:right w:val="single" w:sz="8" w:space="0" w:color="156082" w:themeColor="accent1"/>
            </w:tcBorders>
            <w:shd w:val="clear" w:color="auto" w:fill="B2DEF2" w:themeFill="accent1" w:themeFillTint="3F"/>
          </w:tcPr>
          <w:p w14:paraId="4124E131" w14:textId="77777777" w:rsidR="00E713AC" w:rsidRDefault="00000000">
            <w:pPr>
              <w:spacing w:after="0"/>
              <w:cnfStyle w:val="000000000000" w:firstRow="0" w:lastRow="0" w:firstColumn="0" w:lastColumn="0" w:oddVBand="0" w:evenVBand="0" w:oddHBand="0" w:evenHBand="0" w:firstRowFirstColumn="0" w:firstRowLastColumn="0" w:lastRowFirstColumn="0" w:lastRowLastColumn="0"/>
            </w:pPr>
            <w:r>
              <w:t>Appendices → Useful Resources</w:t>
            </w:r>
          </w:p>
        </w:tc>
      </w:tr>
    </w:tbl>
    <w:p w14:paraId="317973B4" w14:textId="77777777" w:rsidR="00E713AC" w:rsidRDefault="00000000">
      <w:pPr>
        <w:pStyle w:val="Heading1"/>
      </w:pPr>
      <w:r>
        <w:lastRenderedPageBreak/>
        <w:t>Introduction: Welcome to the Doctorate</w:t>
      </w:r>
    </w:p>
    <w:p w14:paraId="1B5899C8" w14:textId="77777777" w:rsidR="00E713AC" w:rsidRDefault="00000000">
      <w:pPr>
        <w:pStyle w:val="Heading2"/>
        <w:rPr>
          <w:rFonts w:ascii="Arial" w:eastAsiaTheme="minorEastAsia" w:hAnsi="Arial" w:cstheme="minorBidi"/>
          <w:color w:val="auto"/>
          <w:kern w:val="0"/>
          <w:sz w:val="22"/>
          <w:szCs w:val="22"/>
          <w:lang w:val="en-US" w:eastAsia="en-US"/>
          <w14:ligatures w14:val="none"/>
        </w:rPr>
      </w:pPr>
      <w:r>
        <w:rPr>
          <w:rFonts w:ascii="Arial" w:eastAsiaTheme="minorEastAsia" w:hAnsi="Arial" w:cstheme="minorBidi"/>
          <w:color w:val="auto"/>
          <w:kern w:val="0"/>
          <w:sz w:val="22"/>
          <w:szCs w:val="22"/>
          <w:lang w:val="en-US" w:eastAsia="en-US"/>
          <w14:ligatures w14:val="none"/>
        </w:rPr>
        <w:t>Congratulations on embarking on your Doctor of Fine Arts (DFA) journey.</w:t>
      </w:r>
    </w:p>
    <w:p w14:paraId="31105BE2" w14:textId="77777777" w:rsidR="00E713AC" w:rsidRDefault="00000000">
      <w:pPr>
        <w:pStyle w:val="Heading2"/>
        <w:rPr>
          <w:rFonts w:ascii="Arial" w:eastAsiaTheme="minorEastAsia" w:hAnsi="Arial" w:cstheme="minorBidi"/>
          <w:color w:val="auto"/>
          <w:kern w:val="0"/>
          <w:sz w:val="22"/>
          <w:szCs w:val="22"/>
          <w:lang w:val="en-US" w:eastAsia="en-US"/>
          <w14:ligatures w14:val="none"/>
        </w:rPr>
      </w:pPr>
      <w:r>
        <w:rPr>
          <w:rFonts w:ascii="Arial" w:eastAsiaTheme="minorEastAsia" w:hAnsi="Arial" w:cstheme="minorBidi"/>
          <w:color w:val="auto"/>
          <w:kern w:val="0"/>
          <w:sz w:val="22"/>
          <w:szCs w:val="22"/>
          <w:lang w:val="en-US" w:eastAsia="en-US"/>
          <w14:ligatures w14:val="none"/>
        </w:rPr>
        <w:t>This guide is your practical companion for the coming years — not a rigid instruction manual, but a flexible roadmap designed to evolve with you as your research and artistic practice develop.</w:t>
      </w:r>
    </w:p>
    <w:p w14:paraId="5BA1B8DA" w14:textId="77777777" w:rsidR="00E713AC" w:rsidRDefault="00000000">
      <w:pPr>
        <w:pStyle w:val="Heading2"/>
        <w:rPr>
          <w:rFonts w:ascii="Arial" w:eastAsiaTheme="minorEastAsia" w:hAnsi="Arial" w:cstheme="minorBidi"/>
          <w:color w:val="auto"/>
          <w:kern w:val="0"/>
          <w:sz w:val="22"/>
          <w:szCs w:val="22"/>
          <w:lang w:val="en-US" w:eastAsia="en-US"/>
          <w14:ligatures w14:val="none"/>
        </w:rPr>
      </w:pPr>
      <w:r>
        <w:rPr>
          <w:rFonts w:ascii="Arial" w:eastAsiaTheme="minorEastAsia" w:hAnsi="Arial" w:cstheme="minorBidi"/>
          <w:color w:val="auto"/>
          <w:kern w:val="0"/>
          <w:sz w:val="22"/>
          <w:szCs w:val="22"/>
          <w:lang w:val="en-US" w:eastAsia="en-US"/>
          <w14:ligatures w14:val="none"/>
        </w:rPr>
        <w:t>It aims to support you as you map out your research terrain, prepare for key milestones and examinations, and bring together your artistic practice, research, and writing into a coherent body of work and a confident thesis defense.</w:t>
      </w:r>
    </w:p>
    <w:p w14:paraId="663D7589" w14:textId="77777777" w:rsidR="00E713AC" w:rsidRDefault="00000000">
      <w:pPr>
        <w:pStyle w:val="Heading2"/>
      </w:pPr>
      <w:r>
        <w:t>What is a Practice-Based DFA in Fine Art?</w:t>
      </w:r>
    </w:p>
    <w:p w14:paraId="5ED2E9A6" w14:textId="77777777" w:rsidR="00E713AC" w:rsidRDefault="00000000">
      <w:r>
        <w:t>A Practice-Based Doctorate in Fine Art is fundamentally different from a traditional PhD. A DFA emphasizes artistic practice as the heart of inquiry, with flexibility to draw from interdisciplinary sources to inspire and deepen your creative work.</w:t>
      </w:r>
      <w:r>
        <w:br/>
      </w:r>
      <w:r>
        <w:br/>
      </w:r>
      <w:r>
        <w:rPr>
          <w:b/>
          <w:bCs/>
        </w:rPr>
        <w:t>In a practice-based DFA:</w:t>
      </w:r>
      <w:r>
        <w:br/>
        <w:t>• Research questions arise from, and are explored through, your ongoing artistic work</w:t>
      </w:r>
      <w:r>
        <w:br/>
        <w:t>• The final submission combines substantial creative output (exhibitions, installations, performances) with a written thesis that critically reflects on, contextualizes, and theorizes that practice</w:t>
      </w:r>
      <w:r>
        <w:br/>
        <w:t>• The outcome is evaluated holistically: examiners assess artistic merit and intellectual rigor</w:t>
      </w:r>
      <w:r>
        <w:br/>
        <w:t>• Knowledge is generated through embodied, experiential, and often non-verbal means, challenging conventional academic paradigms while meeting doctoral standards</w:t>
      </w:r>
      <w:r>
        <w:br/>
      </w:r>
      <w:r>
        <w:br/>
        <w:t>Your artistic practice remains central, but you also become an artist-researcher capable of articulating what was once intuitive, interrogating your own processes, and positioning your work in dialogue with theory and other practices.</w:t>
      </w:r>
    </w:p>
    <w:p w14:paraId="5C5A8030" w14:textId="77777777" w:rsidR="00E713AC" w:rsidRDefault="00000000">
      <w:r>
        <w:t>Importantly, the DFA is not a PhD in art history or theory. Its goal is not to turn artists into academic researchers who primarily study other people’s art or historical works, potentially diverting attention from their own creative practice. Instead, the DFA enables you to critically reflect on and analyze your own creative work. Through this process, you will develop deeper conceptual understanding, strengthen your artistic voice, and create a more distinctive and coherent body of work.</w:t>
      </w:r>
    </w:p>
    <w:p w14:paraId="16F48715" w14:textId="77777777" w:rsidR="00E713AC" w:rsidRDefault="00000000">
      <w:r>
        <w:t>This process involves ongoing critique and discussions centered on your creative output, complemented by training in verbal and written articulation of your artistic and intellectual pursuits. It supports exploration of your individual trajectory, identification of strengths, and development of a distinctive body of work that is stylistically unified and conceptually coherent.</w:t>
      </w:r>
    </w:p>
    <w:p w14:paraId="3DEEFBB5" w14:textId="77777777" w:rsidR="00E713AC" w:rsidRDefault="00000000">
      <w:r>
        <w:t xml:space="preserve">The accompanying written thesis rigorously analyzes your artistic methods and conceptual dimensions, meeting doctoral-level standards while keeping practice at the heart. In addition, participation in national or international juried / curated exhibitions and competitions serves as a </w:t>
      </w:r>
      <w:proofErr w:type="gramStart"/>
      <w:r>
        <w:t>key way</w:t>
      </w:r>
      <w:proofErr w:type="gramEnd"/>
      <w:r>
        <w:t xml:space="preserve"> to present research outcomes, equivalent to academic publications in other fields.</w:t>
      </w:r>
    </w:p>
    <w:p w14:paraId="143B28BF" w14:textId="77777777" w:rsidR="00E713AC" w:rsidRDefault="00000000">
      <w:r>
        <w:rPr>
          <w:b/>
          <w:bCs/>
        </w:rPr>
        <w:lastRenderedPageBreak/>
        <w:t>Note:</w:t>
      </w:r>
      <w:r>
        <w:t xml:space="preserve"> See Appendices for a typical outline of the DFA written thesis component.</w:t>
      </w:r>
    </w:p>
    <w:p w14:paraId="3C96E0A2" w14:textId="77777777" w:rsidR="00E713AC" w:rsidRDefault="00000000">
      <w:pPr>
        <w:rPr>
          <w:rFonts w:asciiTheme="majorHAnsi" w:hAnsiTheme="majorHAnsi"/>
          <w:color w:val="0F4761" w:themeColor="accent1" w:themeShade="BF"/>
          <w:sz w:val="32"/>
          <w:szCs w:val="32"/>
        </w:rPr>
      </w:pPr>
      <w:r>
        <w:rPr>
          <w:rFonts w:asciiTheme="majorHAnsi" w:hAnsiTheme="majorHAnsi"/>
          <w:color w:val="0F4761" w:themeColor="accent1" w:themeShade="BF"/>
          <w:sz w:val="32"/>
          <w:szCs w:val="32"/>
        </w:rPr>
        <w:t>Core Assessment Milestones</w:t>
      </w:r>
    </w:p>
    <w:p w14:paraId="03347801" w14:textId="77777777" w:rsidR="00E713AC" w:rsidRDefault="00000000">
      <w:r>
        <w:t xml:space="preserve">Most practice-based Doctor of Fine Arts (DFA) programs include three major assessment points that mark your progress through the degree. While the exact names, timing, and requirements can vary between institutions, the following structure is common in many four-year practice-based doctoral </w:t>
      </w:r>
      <w:proofErr w:type="spellStart"/>
      <w:r>
        <w:t>programmes</w:t>
      </w:r>
      <w:proofErr w:type="spellEnd"/>
      <w:r>
        <w:t>:</w:t>
      </w:r>
    </w:p>
    <w:p w14:paraId="0EEC66FA" w14:textId="77777777" w:rsidR="00E713AC" w:rsidRDefault="00000000">
      <w:pPr>
        <w:spacing w:after="0"/>
        <w:rPr>
          <w:b/>
          <w:bCs/>
        </w:rPr>
      </w:pPr>
      <w:r>
        <w:rPr>
          <w:b/>
          <w:bCs/>
        </w:rPr>
        <w:t>Qualifying Examination (QE)</w:t>
      </w:r>
    </w:p>
    <w:p w14:paraId="1E374989" w14:textId="77777777" w:rsidR="00E713AC" w:rsidRDefault="00000000">
      <w:r>
        <w:t>Usually held in the second year, this is an early checkpoint that evaluates your initial research direction, practice-led trajectory, and readiness to continue with independent doctoral-level work. It typically takes the form of a preliminary proposal defense.</w:t>
      </w:r>
    </w:p>
    <w:p w14:paraId="4A0CC68A" w14:textId="77777777" w:rsidR="00E713AC" w:rsidRDefault="00000000">
      <w:pPr>
        <w:spacing w:after="0"/>
        <w:rPr>
          <w:b/>
          <w:bCs/>
        </w:rPr>
      </w:pPr>
      <w:r>
        <w:rPr>
          <w:b/>
          <w:bCs/>
        </w:rPr>
        <w:t>Thesis Proposal Assessment (TPA)</w:t>
      </w:r>
    </w:p>
    <w:p w14:paraId="672977B1" w14:textId="77777777" w:rsidR="00E713AC" w:rsidRDefault="00000000">
      <w:r>
        <w:t>Usually scheduled in the third year, this is a more formal review of your developed research plan. You will normally submit a written proposal (often 3,000–5,000 words) and defend it before a panel. Successfully passing this milestone usually confirms your status as a doctoral candidate and allows you to move forward with full thesis development.</w:t>
      </w:r>
    </w:p>
    <w:p w14:paraId="3CE1C028" w14:textId="77777777" w:rsidR="00E713AC" w:rsidRDefault="00000000">
      <w:pPr>
        <w:spacing w:after="0"/>
        <w:rPr>
          <w:b/>
          <w:bCs/>
        </w:rPr>
      </w:pPr>
      <w:r>
        <w:rPr>
          <w:b/>
          <w:bCs/>
        </w:rPr>
        <w:t>Final Exhibition and Thesis Defense</w:t>
      </w:r>
    </w:p>
    <w:p w14:paraId="3B9585DD" w14:textId="77777777" w:rsidR="00E713AC" w:rsidRDefault="00000000">
      <w:r>
        <w:t>This is the culmination of the degree, normally at the end of the fourth year. It consists of a public exhibition or presentation of your creative work, accompanied by the submission and oral defense (viva voce) of your written thesis. Examiners assess both the artistic merit of your practice and the intellectual rigor of your written component.</w:t>
      </w:r>
    </w:p>
    <w:p w14:paraId="723D4620" w14:textId="77777777" w:rsidR="00E713AC" w:rsidRDefault="00000000">
      <w:r>
        <w:t>These milestones serve as important structured checkpoints rather than rigid barriers. They are designed to give you regular feedback, ensure your project remains on track, and prepare you for the final examination.</w:t>
      </w:r>
    </w:p>
    <w:p w14:paraId="33B82779" w14:textId="77777777" w:rsidR="00E713AC" w:rsidRDefault="00000000">
      <w:r>
        <w:rPr>
          <w:b/>
          <w:bCs/>
        </w:rPr>
        <w:t>Tip:</w:t>
      </w:r>
      <w:r>
        <w:t xml:space="preserve"> Requirements and procedures differ significantly between universities. Always check your own institution’s regulations and discuss expectations with your supervisor early in the process.</w:t>
      </w:r>
    </w:p>
    <w:p w14:paraId="3ACF0B5F" w14:textId="77777777" w:rsidR="00E713AC" w:rsidRDefault="00000000">
      <w:pPr>
        <w:spacing w:after="0"/>
        <w:rPr>
          <w:b/>
          <w:bCs/>
        </w:rPr>
      </w:pPr>
      <w:r>
        <w:rPr>
          <w:b/>
          <w:bCs/>
        </w:rPr>
        <w:t>How to Use This Guide:</w:t>
      </w:r>
    </w:p>
    <w:p w14:paraId="33F4211E" w14:textId="77777777" w:rsidR="00E713AC" w:rsidRDefault="00000000">
      <w:pPr>
        <w:spacing w:after="0"/>
      </w:pPr>
      <w:r>
        <w:t>This guide follows the natural progression of a practice-based doctorate: from foundational exploration in the early years, through defining and deepening your research, to thesis development and final defense.”</w:t>
      </w:r>
    </w:p>
    <w:p w14:paraId="37A73B10" w14:textId="77777777" w:rsidR="00E713AC" w:rsidRDefault="00E713AC">
      <w:pPr>
        <w:spacing w:after="0"/>
      </w:pPr>
    </w:p>
    <w:p w14:paraId="2591B360" w14:textId="77777777" w:rsidR="00E713AC" w:rsidRDefault="00000000">
      <w:r>
        <w:rPr>
          <w:b/>
          <w:bCs/>
        </w:rPr>
        <w:t>You can:</w:t>
      </w:r>
      <w:r>
        <w:br/>
        <w:t>• Follow it chronologically to orient yourself at the start of each academic year</w:t>
      </w:r>
      <w:r>
        <w:br/>
        <w:t>• Dip into thematic sections (methodologies, well-being, writing) as specific needs arise</w:t>
      </w:r>
      <w:r>
        <w:br/>
        <w:t>• Use cross-references and appendices (glossary, resources) to navigate non-linearly</w:t>
      </w:r>
      <w:r>
        <w:br/>
      </w:r>
    </w:p>
    <w:p w14:paraId="619B2631" w14:textId="77777777" w:rsidR="00E713AC" w:rsidRDefault="00000000">
      <w:pPr>
        <w:rPr>
          <w:i/>
          <w:iCs/>
        </w:rPr>
      </w:pPr>
      <w:r>
        <w:rPr>
          <w:i/>
          <w:iCs/>
        </w:rPr>
        <w:t xml:space="preserve">Treat this guide as a living document. Annotate it, highlight passages that resonate, and add reflections after key milestones. Return to sections repeatedly - what feels abstract in Year 1 </w:t>
      </w:r>
      <w:r>
        <w:rPr>
          <w:i/>
          <w:iCs/>
        </w:rPr>
        <w:lastRenderedPageBreak/>
        <w:t>may become urgent in Year 3. Your feedback is always welcome and helps improve future versions of this guide.</w:t>
      </w:r>
    </w:p>
    <w:p w14:paraId="1815081C" w14:textId="77777777" w:rsidR="00E713AC" w:rsidRDefault="00000000">
      <w:pPr>
        <w:pStyle w:val="Heading1"/>
        <w:spacing w:before="0"/>
      </w:pPr>
      <w:r>
        <w:t>Part 1: Foundations (Years 1-2)</w:t>
      </w:r>
    </w:p>
    <w:p w14:paraId="79E4D9A2" w14:textId="77777777" w:rsidR="00E713AC" w:rsidRDefault="00E713AC">
      <w:pPr>
        <w:rPr>
          <w:sz w:val="24"/>
          <w:szCs w:val="24"/>
          <w:lang w:val="zh-CN"/>
        </w:rPr>
      </w:pPr>
    </w:p>
    <w:p w14:paraId="5B7E1648" w14:textId="77777777" w:rsidR="00E713AC" w:rsidRDefault="00000000">
      <w:pPr>
        <w:spacing w:after="0" w:line="360" w:lineRule="auto"/>
        <w:jc w:val="center"/>
      </w:pPr>
      <w:r>
        <w:t>“The general system of the sciences and the arts is a sort of labyrinth,</w:t>
      </w:r>
    </w:p>
    <w:p w14:paraId="0F29C0B8" w14:textId="77777777" w:rsidR="00E713AC" w:rsidRDefault="00000000">
      <w:pPr>
        <w:spacing w:after="0" w:line="360" w:lineRule="auto"/>
        <w:jc w:val="center"/>
      </w:pPr>
      <w:r>
        <w:t>a tortuous road which the intellect enters without quite knowing what direction to take…”</w:t>
      </w:r>
    </w:p>
    <w:p w14:paraId="4FD31049" w14:textId="77777777" w:rsidR="00E713AC" w:rsidRDefault="00000000">
      <w:pPr>
        <w:spacing w:before="240"/>
        <w:jc w:val="center"/>
        <w:rPr>
          <w:sz w:val="20"/>
          <w:szCs w:val="20"/>
        </w:rPr>
      </w:pPr>
      <w:r>
        <w:rPr>
          <w:sz w:val="20"/>
          <w:szCs w:val="20"/>
        </w:rPr>
        <w:t>Jean d'Alembert (1751)</w:t>
      </w:r>
    </w:p>
    <w:p w14:paraId="6F249842" w14:textId="77777777" w:rsidR="00E713AC" w:rsidRDefault="00E713AC">
      <w:pPr>
        <w:spacing w:before="240"/>
        <w:jc w:val="center"/>
        <w:rPr>
          <w:sz w:val="20"/>
          <w:szCs w:val="20"/>
        </w:rPr>
      </w:pPr>
    </w:p>
    <w:p w14:paraId="69F210B6" w14:textId="77777777" w:rsidR="00E713AC" w:rsidRDefault="00000000">
      <w:pPr>
        <w:pStyle w:val="Heading2"/>
        <w:rPr>
          <w:rStyle w:val="citation-636"/>
          <w:rFonts w:ascii="Arial" w:eastAsiaTheme="minorEastAsia" w:hAnsi="Arial" w:cstheme="minorBidi"/>
          <w:color w:val="auto"/>
          <w:kern w:val="0"/>
          <w:sz w:val="22"/>
          <w:szCs w:val="22"/>
          <w:lang w:val="en-US" w:eastAsia="en-US"/>
          <w14:ligatures w14:val="none"/>
        </w:rPr>
      </w:pPr>
      <w:r>
        <w:rPr>
          <w:rStyle w:val="citation-636"/>
          <w:rFonts w:ascii="Arial" w:eastAsiaTheme="minorEastAsia" w:hAnsi="Arial" w:cstheme="minorBidi"/>
          <w:color w:val="auto"/>
          <w:kern w:val="0"/>
          <w:sz w:val="22"/>
          <w:szCs w:val="22"/>
          <w:lang w:val="en-US" w:eastAsia="en-US"/>
          <w14:ligatures w14:val="none"/>
        </w:rPr>
        <w:t>The early years of a practice-based Doctor of Fine Arts (DFA) are a crucial foundational phase. This is the time to engage with structured coursework while steadily nurturing your artistic practice — building breadth before depth. By the end of the second year, you will typically undertake a Qualifying Examination (QE) — a preliminary proposal defense that assesses your initial research direction and readiness to progress toward full doctoral candidacy.</w:t>
      </w:r>
    </w:p>
    <w:p w14:paraId="0678162C" w14:textId="77777777" w:rsidR="00E713AC" w:rsidRDefault="00E713AC">
      <w:pPr>
        <w:pStyle w:val="Heading2"/>
        <w:rPr>
          <w:rStyle w:val="citation-636"/>
          <w:rFonts w:ascii="Arial" w:eastAsiaTheme="minorEastAsia" w:hAnsi="Arial" w:cstheme="minorBidi"/>
          <w:color w:val="auto"/>
          <w:kern w:val="0"/>
          <w:sz w:val="22"/>
          <w:szCs w:val="22"/>
          <w:lang w:val="en-US" w:eastAsia="en-US"/>
          <w14:ligatures w14:val="none"/>
        </w:rPr>
      </w:pPr>
    </w:p>
    <w:p w14:paraId="47F759B8" w14:textId="77777777" w:rsidR="00E713AC" w:rsidRDefault="00000000">
      <w:pPr>
        <w:pStyle w:val="Heading2"/>
      </w:pPr>
      <w:r>
        <w:t>Finding Your Path</w:t>
      </w:r>
    </w:p>
    <w:p w14:paraId="7739C979" w14:textId="77777777" w:rsidR="00E713AC" w:rsidRDefault="00000000">
      <w:r>
        <w:t>The first year is an exhilarating time of immersion and discovery. You are no longer just making art, you're learning to position that work within wider critical, historical, and cultural conversations.</w:t>
      </w:r>
      <w:r>
        <w:br/>
      </w:r>
      <w:r>
        <w:br/>
      </w:r>
      <w:r>
        <w:rPr>
          <w:b/>
          <w:bCs/>
        </w:rPr>
        <w:t>Making the Most of Coursework:</w:t>
      </w:r>
      <w:r>
        <w:br/>
        <w:t>Engage fully with your required courses and seminars. Rather than seeing them as distractions from your studio practice, treat them as fuel for it. Use classes as extensions of your creative process: question how different canons relate to your own background, experiment with new materials and ideas, and test emerging thoughts through discussion.</w:t>
      </w:r>
    </w:p>
    <w:p w14:paraId="7EF31ACB" w14:textId="77777777" w:rsidR="00E713AC" w:rsidRDefault="00000000">
      <w:r>
        <w:t>Balance is essential. Maintain consistent studio time alongside your coursework. Attend lectures, exhibitions, and events in your region, and keep a dedicated research journal to track what excites or challenges you.</w:t>
      </w:r>
      <w:r>
        <w:br/>
      </w:r>
      <w:r>
        <w:br/>
      </w:r>
      <w:r>
        <w:rPr>
          <w:b/>
          <w:bCs/>
        </w:rPr>
        <w:t>Identifying Research Interests:</w:t>
      </w:r>
      <w:r>
        <w:br/>
        <w:t>Your core research question will usually emerge organically from your artistic practice. In the first year, focus on making and reflecting: produce work regularly, document your processes thoroughly (sketches, photos, notes, videos), and pay attention to recurring themes, materials, or questions that arise.</w:t>
      </w:r>
    </w:p>
    <w:p w14:paraId="4F57D6E8" w14:textId="77777777" w:rsidR="00E713AC" w:rsidRDefault="00000000">
      <w:r>
        <w:t>Pair this hands-on work with active reading. Begin with key texts in your medium or thematic area, then expand into art theory, philosophy, cultural studies, or relevant interdisciplinary fields.</w:t>
      </w:r>
    </w:p>
    <w:p w14:paraId="77DC512D" w14:textId="77777777" w:rsidR="00E713AC" w:rsidRDefault="00000000">
      <w:r>
        <w:lastRenderedPageBreak/>
        <w:t>A helpful resource is Mortimer J. Adler and Charles Van Doren’s How to Read a Book (1972), which outlines progressive levels of reading — from inspectional skimming to deep analytical engagement. This skill is especially valuable when balancing dense theoretical material with studio experimentation.</w:t>
      </w:r>
    </w:p>
    <w:p w14:paraId="5A2335D0" w14:textId="77777777" w:rsidR="00E713AC" w:rsidRDefault="00000000">
      <w:pPr>
        <w:spacing w:after="0"/>
        <w:rPr>
          <w:b/>
          <w:bCs/>
        </w:rPr>
      </w:pPr>
      <w:r>
        <w:rPr>
          <w:b/>
          <w:bCs/>
        </w:rPr>
        <w:t>Ask yourself regularly:</w:t>
      </w:r>
    </w:p>
    <w:p w14:paraId="13D4602E" w14:textId="77777777" w:rsidR="00E713AC" w:rsidRDefault="00000000">
      <w:pPr>
        <w:spacing w:after="0"/>
      </w:pPr>
      <w:r>
        <w:t>• What problems does my practice solve intuitively?</w:t>
      </w:r>
    </w:p>
    <w:p w14:paraId="557A829A" w14:textId="77777777" w:rsidR="00E713AC" w:rsidRDefault="00000000">
      <w:pPr>
        <w:spacing w:after="0"/>
      </w:pPr>
      <w:r>
        <w:t>• What gaps in existing discourse does my work address?</w:t>
      </w:r>
    </w:p>
    <w:p w14:paraId="57F12922" w14:textId="77777777" w:rsidR="00E713AC" w:rsidRDefault="00E713AC">
      <w:pPr>
        <w:pStyle w:val="ListParagraph"/>
      </w:pPr>
    </w:p>
    <w:p w14:paraId="59C3D95D" w14:textId="77777777" w:rsidR="00E713AC" w:rsidRDefault="00000000">
      <w:r>
        <w:t>By the middle of the second year, aim to articulate two or three potential research directions.</w:t>
      </w:r>
    </w:p>
    <w:p w14:paraId="4976A0B9" w14:textId="77777777" w:rsidR="00E713AC" w:rsidRDefault="00000000">
      <w:pPr>
        <w:spacing w:after="0"/>
        <w:rPr>
          <w:b/>
          <w:bCs/>
        </w:rPr>
      </w:pPr>
      <w:r>
        <w:rPr>
          <w:b/>
          <w:bCs/>
        </w:rPr>
        <w:t>Choosing Your Supervisor(s):</w:t>
      </w:r>
    </w:p>
    <w:p w14:paraId="6700AE2C" w14:textId="77777777" w:rsidR="00E713AC" w:rsidRDefault="00E713AC">
      <w:pPr>
        <w:spacing w:after="0"/>
        <w:rPr>
          <w:b/>
          <w:bCs/>
        </w:rPr>
      </w:pPr>
    </w:p>
    <w:p w14:paraId="2026CD71" w14:textId="77777777" w:rsidR="00E713AC" w:rsidRDefault="00000000">
      <w:pPr>
        <w:spacing w:after="0"/>
      </w:pPr>
      <w:r>
        <w:t>• Review faculty profiles: look at their publications, exhibitions, projects, and supervisory experience.</w:t>
      </w:r>
    </w:p>
    <w:p w14:paraId="0BA41A68" w14:textId="77777777" w:rsidR="00E713AC" w:rsidRDefault="00000000">
      <w:pPr>
        <w:spacing w:after="0"/>
      </w:pPr>
      <w:r>
        <w:t>• Attend their talks, seminars, or office hours.</w:t>
      </w:r>
    </w:p>
    <w:p w14:paraId="3195BDA8" w14:textId="77777777" w:rsidR="00E713AC" w:rsidRDefault="00000000">
      <w:pPr>
        <w:spacing w:after="0"/>
      </w:pPr>
      <w:r>
        <w:t>• Speak with current or former students about their supervision style.</w:t>
      </w:r>
    </w:p>
    <w:p w14:paraId="5899A082" w14:textId="77777777" w:rsidR="00E713AC" w:rsidRDefault="00E713AC">
      <w:pPr>
        <w:spacing w:after="0"/>
      </w:pPr>
    </w:p>
    <w:p w14:paraId="18AF8A33" w14:textId="77777777" w:rsidR="00E713AC" w:rsidRDefault="00000000">
      <w:pPr>
        <w:spacing w:after="0"/>
        <w:rPr>
          <w:b/>
          <w:bCs/>
        </w:rPr>
      </w:pPr>
      <w:r>
        <w:rPr>
          <w:b/>
          <w:bCs/>
        </w:rPr>
        <w:t>Look for alignment in three key areas:</w:t>
      </w:r>
    </w:p>
    <w:p w14:paraId="21557A61" w14:textId="77777777" w:rsidR="00E713AC" w:rsidRDefault="00000000">
      <w:pPr>
        <w:spacing w:after="0"/>
      </w:pPr>
      <w:r>
        <w:t>• Content: shared interest in themes such as perception, materiality, symbolism, process, or hybridity.</w:t>
      </w:r>
    </w:p>
    <w:p w14:paraId="6744A963" w14:textId="77777777" w:rsidR="00E713AC" w:rsidRDefault="00000000">
      <w:pPr>
        <w:spacing w:after="0"/>
      </w:pPr>
      <w:r>
        <w:t>• Approach: how practice drives inquiry, the integration of reflection and documentation, and the role of theory.</w:t>
      </w:r>
    </w:p>
    <w:p w14:paraId="5023261D" w14:textId="77777777" w:rsidR="00E713AC" w:rsidRDefault="00000000">
      <w:pPr>
        <w:spacing w:after="0"/>
      </w:pPr>
      <w:r>
        <w:t>• Enthusiasm: genuine interest in your emerging ideas.</w:t>
      </w:r>
    </w:p>
    <w:p w14:paraId="6F79F6A2" w14:textId="77777777" w:rsidR="00E713AC" w:rsidRDefault="00E713AC">
      <w:pPr>
        <w:spacing w:after="0"/>
      </w:pPr>
    </w:p>
    <w:p w14:paraId="34F7855C" w14:textId="77777777" w:rsidR="00E713AC" w:rsidRDefault="00000000">
      <w:pPr>
        <w:spacing w:after="0"/>
        <w:rPr>
          <w:b/>
          <w:bCs/>
        </w:rPr>
      </w:pPr>
      <w:r>
        <w:rPr>
          <w:b/>
          <w:bCs/>
        </w:rPr>
        <w:t>Initial Conversations</w:t>
      </w:r>
    </w:p>
    <w:p w14:paraId="16C3F277" w14:textId="77777777" w:rsidR="00E713AC" w:rsidRDefault="00000000">
      <w:pPr>
        <w:spacing w:after="0"/>
      </w:pPr>
      <w:r>
        <w:t>• Shortlist 2–3 potential supervisors and request brief meetings. Come prepared with a concise portfolio summary and a short paragraph on your current interests.</w:t>
      </w:r>
    </w:p>
    <w:p w14:paraId="7639831D" w14:textId="77777777" w:rsidR="00E713AC" w:rsidRDefault="00000000">
      <w:pPr>
        <w:spacing w:after="0"/>
      </w:pPr>
      <w:r>
        <w:t>• Helpful questions to explore fit include:</w:t>
      </w:r>
    </w:p>
    <w:p w14:paraId="1767DF1B" w14:textId="77777777" w:rsidR="00E713AC" w:rsidRDefault="00000000">
      <w:pPr>
        <w:spacing w:after="0"/>
      </w:pPr>
      <w:r>
        <w:t>What kinds of projects or themes have you enjoyed supervising most recently?</w:t>
      </w:r>
    </w:p>
    <w:p w14:paraId="06E6D41F" w14:textId="77777777" w:rsidR="00E713AC" w:rsidRDefault="00000000">
      <w:pPr>
        <w:spacing w:after="0"/>
      </w:pPr>
      <w:r>
        <w:t>How do you typically support practice-led research?</w:t>
      </w:r>
    </w:p>
    <w:p w14:paraId="60645D69" w14:textId="77777777" w:rsidR="00E713AC" w:rsidRDefault="00000000">
      <w:pPr>
        <w:spacing w:after="0"/>
      </w:pPr>
      <w:r>
        <w:t>What does a typical supervision cycle look like (e.g., meeting frequency, preferred feedback format)?</w:t>
      </w:r>
    </w:p>
    <w:p w14:paraId="05606F2C" w14:textId="77777777" w:rsidR="00E713AC" w:rsidRDefault="00000000">
      <w:pPr>
        <w:spacing w:after="0"/>
      </w:pPr>
      <w:r>
        <w:t>How far in advance do you prefer to receive materials?</w:t>
      </w:r>
    </w:p>
    <w:p w14:paraId="5F959F48" w14:textId="77777777" w:rsidR="00E713AC" w:rsidRDefault="00E713AC">
      <w:pPr>
        <w:spacing w:after="0"/>
      </w:pPr>
    </w:p>
    <w:p w14:paraId="0A0C851F" w14:textId="77777777" w:rsidR="00E713AC" w:rsidRDefault="00000000">
      <w:pPr>
        <w:spacing w:after="0"/>
      </w:pPr>
      <w:r>
        <w:t>Trust your instincts. If the conversation feels supportive, open, and energizing, it is usually a good sign.</w:t>
      </w:r>
    </w:p>
    <w:p w14:paraId="1D5BA252" w14:textId="77777777" w:rsidR="00E713AC" w:rsidRDefault="00E713AC">
      <w:pPr>
        <w:spacing w:after="0"/>
      </w:pPr>
    </w:p>
    <w:p w14:paraId="5F6EF622" w14:textId="77777777" w:rsidR="00E713AC" w:rsidRDefault="00000000">
      <w:pPr>
        <w:spacing w:after="0"/>
        <w:rPr>
          <w:b/>
          <w:bCs/>
        </w:rPr>
      </w:pPr>
      <w:r>
        <w:rPr>
          <w:b/>
          <w:bCs/>
        </w:rPr>
        <w:t>Being Proactive:</w:t>
      </w:r>
    </w:p>
    <w:p w14:paraId="3EE56818" w14:textId="77777777" w:rsidR="00E713AC" w:rsidRDefault="00000000">
      <w:pPr>
        <w:spacing w:after="0"/>
      </w:pPr>
      <w:r>
        <w:t xml:space="preserve">• Doctoral students are expected to take ownership of their progress. This includes scheduling meetings, sending materials in advance, reconciling feedback, and keeping supervisors informed. </w:t>
      </w:r>
    </w:p>
    <w:p w14:paraId="01D73039" w14:textId="77777777" w:rsidR="00E713AC" w:rsidRDefault="00000000">
      <w:pPr>
        <w:spacing w:after="0"/>
      </w:pPr>
      <w:r>
        <w:t>• Good communication from you will greatly improve the supervisory relationship.</w:t>
      </w:r>
    </w:p>
    <w:p w14:paraId="3761A378" w14:textId="77777777" w:rsidR="00E713AC" w:rsidRDefault="00E713AC">
      <w:pPr>
        <w:spacing w:after="0"/>
        <w:rPr>
          <w:b/>
          <w:bCs/>
        </w:rPr>
      </w:pPr>
    </w:p>
    <w:p w14:paraId="37C9053E" w14:textId="77777777" w:rsidR="00E713AC" w:rsidRDefault="00E713AC">
      <w:pPr>
        <w:spacing w:after="0"/>
      </w:pPr>
    </w:p>
    <w:p w14:paraId="35DAF36A" w14:textId="77777777" w:rsidR="00E713AC" w:rsidRDefault="00E713AC">
      <w:pPr>
        <w:spacing w:after="0"/>
        <w:rPr>
          <w:b/>
          <w:bCs/>
        </w:rPr>
      </w:pPr>
    </w:p>
    <w:p w14:paraId="2BB905D2" w14:textId="77777777" w:rsidR="00E713AC" w:rsidRDefault="00000000">
      <w:pPr>
        <w:pStyle w:val="Heading2"/>
      </w:pPr>
      <w:r>
        <w:t>Structuring Your Time</w:t>
      </w:r>
    </w:p>
    <w:p w14:paraId="74211ABC" w14:textId="77777777" w:rsidR="00E713AC" w:rsidRDefault="00000000">
      <w:pPr>
        <w:spacing w:after="0"/>
      </w:pPr>
      <w:r>
        <w:t>In Years 1–2, with coursework alongside practice, structuring time effectively prevents burnout and ensures steady progress. The goal isn't rigid perfection but sustainable rhythm.</w:t>
      </w:r>
      <w:r>
        <w:br/>
      </w:r>
      <w:r>
        <w:br/>
      </w:r>
      <w:r>
        <w:rPr>
          <w:b/>
          <w:bCs/>
        </w:rPr>
        <w:t>Balancing Studio, Research, and Writing</w:t>
      </w:r>
      <w:r>
        <w:t>:</w:t>
      </w:r>
      <w:r>
        <w:br/>
        <w:t>Treat these as interconnected - making generates questions that drive reading / research, while writing / reflection sharpens practice. Experiment to discover your personal rhythms. Many artists find mornings best for fresh creative flow, while afternoons / evenings suit analytical tasks like writing or organizing documentation. Track your energy over a few weeks and adjust accordingly.</w:t>
      </w:r>
    </w:p>
    <w:p w14:paraId="350B8925" w14:textId="77777777" w:rsidR="00E713AC" w:rsidRDefault="00000000">
      <w:pPr>
        <w:spacing w:after="0"/>
      </w:pPr>
      <w:r>
        <w:br/>
      </w:r>
      <w:r>
        <w:rPr>
          <w:b/>
          <w:bCs/>
        </w:rPr>
        <w:t>Practical Techniques</w:t>
      </w:r>
      <w:r>
        <w:t>:</w:t>
      </w:r>
      <w:r>
        <w:br/>
        <w:t>• Time blocking: Designate fixed slots (e.g., 9–12 studio, 2–4 research, 7–9 writing) and treat them as important appointments</w:t>
      </w:r>
      <w:r>
        <w:br/>
        <w:t>• Dedicated days: Reserve 1–2 days weekly for focused non-studio work</w:t>
      </w:r>
      <w:r>
        <w:br/>
        <w:t>• Pomodoro technique: Work in 25–50 minute bursts with short breaks - ideal for long work sessions</w:t>
      </w:r>
      <w:r>
        <w:br/>
        <w:t>• Weekly review: End each week assessing what advanced your practice, what drained you, and adjust</w:t>
      </w:r>
      <w:r>
        <w:br/>
      </w:r>
      <w:r>
        <w:br/>
      </w:r>
      <w:r>
        <w:rPr>
          <w:b/>
          <w:bCs/>
        </w:rPr>
        <w:t>The Research Journal</w:t>
      </w:r>
      <w:r>
        <w:t>:</w:t>
      </w:r>
      <w:r>
        <w:br/>
        <w:t xml:space="preserve">This is your central tool - part sketchbook, part diary, part archive. </w:t>
      </w:r>
    </w:p>
    <w:p w14:paraId="16992B08" w14:textId="77777777" w:rsidR="00E713AC" w:rsidRDefault="00000000">
      <w:pPr>
        <w:spacing w:after="0"/>
      </w:pPr>
      <w:r>
        <w:t>Use it daily to:</w:t>
      </w:r>
      <w:r>
        <w:br/>
        <w:t>• Document processes (sketches, photos, material tests, work-in-progress)</w:t>
      </w:r>
      <w:r>
        <w:br/>
        <w:t>• Capture fleeting ideas and honest reflections</w:t>
      </w:r>
      <w:r>
        <w:br/>
        <w:t>• Note connections across sources</w:t>
      </w:r>
      <w:r>
        <w:br/>
        <w:t>• Track experiments, iterations, and shifts in direction</w:t>
      </w:r>
      <w:r>
        <w:br/>
      </w:r>
      <w:r>
        <w:br/>
        <w:t>A hybrid approach works best: combine traditional paper notebooks / sketchbooks for tactile freedom with digital software (like Notion) for organization, searchability, and handling diverse media. Notion's AI search capabilities make it easy to retrieve specific ideas years later or spot patterns across entries.</w:t>
      </w:r>
      <w:r>
        <w:br/>
        <w:t>By cultivating these habits early, you build resilience and momentum for the independent research phase after the QE. Review and tweak your routine regularly as your project evolves.</w:t>
      </w:r>
    </w:p>
    <w:p w14:paraId="0D149C8A" w14:textId="77777777" w:rsidR="00E713AC" w:rsidRDefault="00E713AC"/>
    <w:p w14:paraId="6AC60A4F" w14:textId="77777777" w:rsidR="00E713AC" w:rsidRDefault="00E713AC"/>
    <w:p w14:paraId="4A867109" w14:textId="77777777" w:rsidR="00E713AC" w:rsidRDefault="00E713AC"/>
    <w:p w14:paraId="22AB352C" w14:textId="77777777" w:rsidR="00E713AC" w:rsidRDefault="00E713AC"/>
    <w:p w14:paraId="1D2396BA" w14:textId="77777777" w:rsidR="00E713AC" w:rsidRDefault="00E713AC">
      <w:pPr>
        <w:rPr>
          <w:lang w:val="zh-CN" w:eastAsia="ja-JP"/>
        </w:rPr>
      </w:pPr>
    </w:p>
    <w:p w14:paraId="795A2AD1" w14:textId="77777777" w:rsidR="00E713AC" w:rsidRDefault="00E713AC">
      <w:pPr>
        <w:rPr>
          <w:lang w:val="zh-CN"/>
        </w:rPr>
      </w:pPr>
    </w:p>
    <w:p w14:paraId="13299E8C" w14:textId="77777777" w:rsidR="00E713AC" w:rsidRDefault="00000000">
      <w:pPr>
        <w:pStyle w:val="Heading1"/>
        <w:spacing w:before="0"/>
      </w:pPr>
      <w:r>
        <w:t>Part 2: Defining Your Research (Years 1-2)</w:t>
      </w:r>
    </w:p>
    <w:p w14:paraId="3EB415AF" w14:textId="77777777" w:rsidR="00E713AC" w:rsidRDefault="00E713AC"/>
    <w:p w14:paraId="1DB0B697" w14:textId="77777777" w:rsidR="00E713AC" w:rsidRDefault="00000000">
      <w:pPr>
        <w:spacing w:after="0" w:line="360" w:lineRule="auto"/>
        <w:jc w:val="center"/>
      </w:pPr>
      <w:r>
        <w:t>"Art is solving problems that cannot be formulated before they have been solved.</w:t>
      </w:r>
    </w:p>
    <w:p w14:paraId="1F59746E" w14:textId="77777777" w:rsidR="00E713AC" w:rsidRDefault="00000000">
      <w:pPr>
        <w:spacing w:after="0" w:line="360" w:lineRule="auto"/>
        <w:jc w:val="center"/>
      </w:pPr>
      <w:r>
        <w:t>​The shaping of the question is part of the answer."</w:t>
      </w:r>
    </w:p>
    <w:p w14:paraId="45D474EE" w14:textId="77777777" w:rsidR="00E713AC" w:rsidRDefault="00000000">
      <w:pPr>
        <w:spacing w:before="240"/>
        <w:jc w:val="center"/>
        <w:rPr>
          <w:sz w:val="20"/>
          <w:szCs w:val="20"/>
        </w:rPr>
      </w:pPr>
      <w:r>
        <w:rPr>
          <w:sz w:val="20"/>
          <w:szCs w:val="20"/>
        </w:rPr>
        <w:t>Piet Hein (1973)</w:t>
      </w:r>
    </w:p>
    <w:p w14:paraId="0296A78E" w14:textId="77777777" w:rsidR="00E713AC" w:rsidRDefault="00E713AC">
      <w:pPr>
        <w:spacing w:before="240"/>
        <w:jc w:val="center"/>
        <w:rPr>
          <w:sz w:val="20"/>
          <w:szCs w:val="20"/>
        </w:rPr>
      </w:pPr>
    </w:p>
    <w:p w14:paraId="68A6A4F0" w14:textId="77777777" w:rsidR="00E713AC" w:rsidRDefault="00000000">
      <w:r>
        <w:t>By the middle to late stage of the early years, as coursework decreases and the Qualifying Examination approaches, your focus shifts toward crystallizing a coherent research project. This phase transforms intuitive artistic explorations into structured doctoral inquiry, one that remains led by your practice while meeting academic expectations.</w:t>
      </w:r>
    </w:p>
    <w:p w14:paraId="5C12676D" w14:textId="77777777" w:rsidR="00E713AC" w:rsidRDefault="00000000">
      <w:pPr>
        <w:pStyle w:val="Heading2"/>
      </w:pPr>
      <w:r>
        <w:t>From Artistic Inquiry to Research Question</w:t>
      </w:r>
    </w:p>
    <w:p w14:paraId="4916A214" w14:textId="77777777" w:rsidR="00E713AC" w:rsidRDefault="00000000">
      <w:pPr>
        <w:spacing w:after="0"/>
      </w:pPr>
      <w:r>
        <w:t>In practice-based doctorates, the research question does not precede your art, it arises from it. Your making is the primary mode of investigation.</w:t>
      </w:r>
      <w:r>
        <w:br/>
      </w:r>
      <w:r>
        <w:br/>
      </w:r>
      <w:r>
        <w:rPr>
          <w:b/>
          <w:bCs/>
        </w:rPr>
        <w:t>How Your Practice Leads</w:t>
      </w:r>
      <w:r>
        <w:t>:</w:t>
      </w:r>
      <w:r>
        <w:br/>
        <w:t>Your practice is the engine. Through sustained making, producing series of works, testing materials, iterating through failures, you uncover recurring concerns, unresolved tensions, or novel possibilities that demand deeper exploration. Document these emergences rigorously in your journal. The question forms as you reflect: What is my work insisting on knowing? What new understanding does this making produce that words alone cannot capture?</w:t>
      </w:r>
      <w:r>
        <w:br/>
      </w:r>
      <w:r>
        <w:br/>
      </w:r>
      <w:r>
        <w:rPr>
          <w:b/>
          <w:bCs/>
        </w:rPr>
        <w:t>Formulating a Focused Question</w:t>
      </w:r>
      <w:r>
        <w:br/>
        <w:t>Aim for a question that is:</w:t>
      </w:r>
      <w:r>
        <w:br/>
        <w:t>• Clear and arguable</w:t>
      </w:r>
      <w:r>
        <w:br/>
        <w:t>• Feasible within four years</w:t>
      </w:r>
      <w:r>
        <w:br/>
        <w:t>• Impossible to answer without your specific artistic process</w:t>
      </w:r>
      <w:r>
        <w:br/>
        <w:t>• Open enough to allow evolution yet focused enough to guide decisions</w:t>
      </w:r>
      <w:r>
        <w:br/>
      </w:r>
      <w:r>
        <w:br/>
        <w:t>Start broad ("In what ways can digital tools extend traditional drawing practices?") then refine through making and reflection("In what ways do AI-generated marks (from diffusion models on my archive) plotted via CNC on mylar reveal conflicts between machine predictability and manual gesture in drawings about digital obsolescence?"). Test it: Does answering this require new artworks? Will the outcomes contribute original knowledge?</w:t>
      </w:r>
      <w:r>
        <w:br/>
      </w:r>
      <w:r>
        <w:br/>
      </w:r>
      <w:r>
        <w:rPr>
          <w:b/>
          <w:bCs/>
        </w:rPr>
        <w:t>Connecting to Broader Contexts:</w:t>
      </w:r>
      <w:r>
        <w:br/>
        <w:t>Your work doesn't exist in isolation. Position it in dialogue with existing discourses:</w:t>
      </w:r>
    </w:p>
    <w:p w14:paraId="0454BF2C" w14:textId="77777777" w:rsidR="00E713AC" w:rsidRDefault="00000000">
      <w:pPr>
        <w:spacing w:after="0" w:line="240" w:lineRule="auto"/>
      </w:pPr>
      <w:r>
        <w:lastRenderedPageBreak/>
        <w:t xml:space="preserve">• Contemporaries: artists and researchers whose work aligns with your research interests and creative practice </w:t>
      </w:r>
    </w:p>
    <w:p w14:paraId="4236AFA9" w14:textId="77777777" w:rsidR="00E713AC" w:rsidRDefault="00000000">
      <w:pPr>
        <w:spacing w:after="0" w:line="240" w:lineRule="auto"/>
      </w:pPr>
      <w:r>
        <w:t>• Art history: precedents in process art, minimalism, contemporary practice</w:t>
      </w:r>
      <w:r>
        <w:br/>
        <w:t>• Theory: phenomenology for perception, semiotics for symbols, relevant philosophical frameworks</w:t>
      </w:r>
      <w:r>
        <w:br/>
        <w:t>• Interdisciplinary fields: science, technology, sociology, literature as they inform your practice</w:t>
      </w:r>
      <w:r>
        <w:br/>
      </w:r>
      <w:r>
        <w:br/>
      </w:r>
      <w:r>
        <w:rPr>
          <w:b/>
          <w:bCs/>
        </w:rPr>
        <w:t>Map resonances and gaps:</w:t>
      </w:r>
      <w:r>
        <w:t xml:space="preserve"> Where does your practice extend, challenge, or reframe established ideas? This contextualization strengthens your claim to doctoral-level innovation.</w:t>
      </w:r>
      <w:r>
        <w:br/>
      </w:r>
      <w:r>
        <w:br/>
      </w:r>
      <w:r>
        <w:rPr>
          <w:b/>
          <w:bCs/>
        </w:rPr>
        <w:t>The Literature Review:</w:t>
      </w:r>
      <w:r>
        <w:br/>
        <w:t>Compiling a literature review isn't a separate academic exercise, it supports and is shaped by your practice. It situates your inquiry, justifies why practice is the necessary method, and identifies gaps your work addresses. In practice-based doctorates, it's often dynamic: revisit and expand it as your making evolves. Focus on quality over quantity, prioritize texts that directly inform or challenge your question.</w:t>
      </w:r>
      <w:r>
        <w:br/>
      </w:r>
      <w:r>
        <w:br/>
        <w:t>By QE time, it should form the backbone of your proposal, showing how your practice-led approach generates knowledge that complements and advances existing scholarship.</w:t>
      </w:r>
    </w:p>
    <w:p w14:paraId="46FDB478" w14:textId="77777777" w:rsidR="00E713AC" w:rsidRDefault="00E713AC">
      <w:pPr>
        <w:pStyle w:val="Heading2"/>
        <w:spacing w:after="0"/>
        <w:rPr>
          <w:sz w:val="22"/>
          <w:szCs w:val="22"/>
        </w:rPr>
      </w:pPr>
    </w:p>
    <w:p w14:paraId="0E0143C7" w14:textId="77777777" w:rsidR="00E713AC" w:rsidRDefault="00000000">
      <w:pPr>
        <w:pStyle w:val="Heading2"/>
        <w:spacing w:before="0" w:after="0"/>
      </w:pPr>
      <w:r>
        <w:t>The Research Proposal, QE and TPA</w:t>
      </w:r>
    </w:p>
    <w:p w14:paraId="6191D726" w14:textId="77777777" w:rsidR="00E713AC" w:rsidRDefault="00000000">
      <w:r>
        <w:t>The transition from a doctoral student to a doctoral candidate involves a two-step milestone process centered on the evolution of your research proposal.</w:t>
      </w:r>
    </w:p>
    <w:p w14:paraId="32F7ACF0" w14:textId="77777777" w:rsidR="00E713AC" w:rsidRDefault="00000000">
      <w:pPr>
        <w:spacing w:after="0"/>
        <w:rPr>
          <w:b/>
          <w:bCs/>
        </w:rPr>
      </w:pPr>
      <w:r>
        <w:rPr>
          <w:b/>
          <w:bCs/>
        </w:rPr>
        <w:t>Milestone 1: The Qualifying Examination (QE)</w:t>
      </w:r>
    </w:p>
    <w:p w14:paraId="62B24EC0" w14:textId="77777777" w:rsidR="00E713AC" w:rsidRDefault="00000000">
      <w:pPr>
        <w:spacing w:after="0"/>
      </w:pPr>
      <w:r>
        <w:t>Timing: Usually held toward the end of the second year</w:t>
      </w:r>
    </w:p>
    <w:p w14:paraId="6D83F43D" w14:textId="77777777" w:rsidR="00E713AC" w:rsidRDefault="00E713AC">
      <w:pPr>
        <w:spacing w:after="0"/>
      </w:pPr>
    </w:p>
    <w:p w14:paraId="7A3DB5DA" w14:textId="77777777" w:rsidR="00E713AC" w:rsidRDefault="00000000">
      <w:r>
        <w:t>The QE acts as a "preliminary dissertation proposal defense". At this stage, examiners evaluate your readiness to move into independent research by assessing three core areas:</w:t>
      </w:r>
    </w:p>
    <w:p w14:paraId="2C766967" w14:textId="77777777" w:rsidR="00E713AC" w:rsidRDefault="00000000">
      <w:pPr>
        <w:spacing w:after="0"/>
      </w:pPr>
      <w:r>
        <w:t>• Practice &amp; Process: You must present a cohesive portfolio of work produced during Years 1–2. This includes an explanation of your methodology, how your making "thinks", and evidence of systematic documentation in your journals or process archives.</w:t>
      </w:r>
    </w:p>
    <w:p w14:paraId="55B65BF9" w14:textId="77777777" w:rsidR="00E713AC" w:rsidRDefault="00000000">
      <w:pPr>
        <w:spacing w:after="0"/>
      </w:pPr>
      <w:r>
        <w:t>• Context &amp; Contribution: You must provide a descriptive title and emergent research question(s). You should identify the specific "gap" your project addresses in contemporary art discourse and show your work's relationship to historical or contemporary theorists.</w:t>
      </w:r>
    </w:p>
    <w:p w14:paraId="4FF34B34" w14:textId="77777777" w:rsidR="00E713AC" w:rsidRDefault="00000000">
      <w:pPr>
        <w:spacing w:after="0"/>
      </w:pPr>
      <w:r>
        <w:t>• Roadmap to Completion: You must present a preliminary vision for the relationship between your final exhibition and thesis, a realistic timeline, and an assessment of the project's feasibility and required resources.</w:t>
      </w:r>
    </w:p>
    <w:p w14:paraId="4398EB5F" w14:textId="77777777" w:rsidR="00E713AC" w:rsidRDefault="00E713AC">
      <w:pPr>
        <w:spacing w:after="0"/>
      </w:pPr>
    </w:p>
    <w:p w14:paraId="5C8A816A" w14:textId="77777777" w:rsidR="00E713AC" w:rsidRDefault="00000000">
      <w:pPr>
        <w:spacing w:after="0"/>
        <w:rPr>
          <w:b/>
          <w:bCs/>
        </w:rPr>
      </w:pPr>
      <w:r>
        <w:rPr>
          <w:b/>
          <w:bCs/>
        </w:rPr>
        <w:t>Milestone 2: Thesis Proposal Assessment (TPA)</w:t>
      </w:r>
    </w:p>
    <w:p w14:paraId="48939A8C" w14:textId="77777777" w:rsidR="00E713AC" w:rsidRDefault="00000000">
      <w:pPr>
        <w:spacing w:after="0"/>
      </w:pPr>
      <w:r>
        <w:t>Timing: Usually scheduled in the third year</w:t>
      </w:r>
    </w:p>
    <w:p w14:paraId="619CBAEF" w14:textId="77777777" w:rsidR="00E713AC" w:rsidRDefault="00E713AC">
      <w:pPr>
        <w:spacing w:after="0"/>
      </w:pPr>
    </w:p>
    <w:p w14:paraId="54BC4701" w14:textId="77777777" w:rsidR="00E713AC" w:rsidRDefault="00000000">
      <w:r>
        <w:t>The TPA is the formal dissertation proposal defense. While it shares the same core components as the QE, the expectations for depth and formalization are significantly higher.</w:t>
      </w:r>
    </w:p>
    <w:p w14:paraId="55FCC595" w14:textId="77777777" w:rsidR="00E713AC" w:rsidRDefault="00000000">
      <w:pPr>
        <w:spacing w:after="0"/>
      </w:pPr>
      <w:r>
        <w:t>• The Scholarly Blueprint: The TPA requires a finalized, comprehensive proposal.</w:t>
      </w:r>
    </w:p>
    <w:p w14:paraId="5D34C543" w14:textId="77777777" w:rsidR="00E713AC" w:rsidRDefault="00000000">
      <w:pPr>
        <w:spacing w:after="0"/>
      </w:pPr>
      <w:r>
        <w:lastRenderedPageBreak/>
        <w:t>• Formal Candidacy: Successfully passing the TPA officially transitions you to doctoral candidate status.</w:t>
      </w:r>
    </w:p>
    <w:p w14:paraId="4C8076E7" w14:textId="77777777" w:rsidR="00E713AC" w:rsidRDefault="00000000">
      <w:pPr>
        <w:spacing w:after="0"/>
      </w:pPr>
      <w:r>
        <w:t>• Finalized Roadmap: By this stage, your scope must be clearly bounded (e.g., 3–5 specific series or a major installation) with concrete strategies for technical hurdles.</w:t>
      </w:r>
      <w:r>
        <w:br/>
      </w:r>
      <w:r>
        <w:br/>
      </w:r>
      <w:r>
        <w:rPr>
          <w:b/>
          <w:bCs/>
        </w:rPr>
        <w:t>Articulating Methodology:</w:t>
      </w:r>
      <w:r>
        <w:br/>
        <w:t>Methodology is central. Demonstrate that studio work is the primary mode of investigation:</w:t>
      </w:r>
      <w:r>
        <w:br/>
        <w:t>• Detail specific processes (iterative material experimentation, performative actions, site-responsive installation, digital / hybrid workflows, etc.)</w:t>
      </w:r>
      <w:r>
        <w:br/>
        <w:t>• Describe cycles: experimentation → documentation / reflection → refinement → new iterations</w:t>
      </w:r>
      <w:r>
        <w:br/>
        <w:t>• Explain how these generate knowledge revealing insights unattainable otherwise</w:t>
      </w:r>
      <w:r>
        <w:br/>
        <w:t>• Highlight rigor: systematic tracking, self-critique, ethical considerations</w:t>
      </w:r>
      <w:r>
        <w:br/>
      </w:r>
      <w:r>
        <w:br/>
        <w:t>Examiners assess whether your practice constitutes rigorous, self-reflective inquiry, so your artworks and documentation must prove this.</w:t>
      </w:r>
      <w:r>
        <w:br/>
      </w:r>
      <w:r>
        <w:br/>
        <w:t>A feasible plan reassures examiners you can complete on time. This blueprint prepares you for a confident QE presentation: showcase growth, explain how your work thinks, position its contribution, and prove viability.</w:t>
      </w:r>
    </w:p>
    <w:p w14:paraId="775E5468" w14:textId="77777777" w:rsidR="00E713AC" w:rsidRDefault="00E713AC"/>
    <w:p w14:paraId="78D90779" w14:textId="77777777" w:rsidR="00E713AC" w:rsidRDefault="00E713AC"/>
    <w:p w14:paraId="3900AA2A" w14:textId="77777777" w:rsidR="00E713AC" w:rsidRDefault="00E713AC"/>
    <w:p w14:paraId="698CD4D0" w14:textId="77777777" w:rsidR="00E713AC" w:rsidRDefault="00E713AC"/>
    <w:p w14:paraId="5ACD1B4F" w14:textId="77777777" w:rsidR="00E713AC" w:rsidRDefault="00E713AC"/>
    <w:p w14:paraId="099D872F" w14:textId="77777777" w:rsidR="00E713AC" w:rsidRDefault="00E713AC"/>
    <w:p w14:paraId="7B57D59C" w14:textId="77777777" w:rsidR="00E713AC" w:rsidRDefault="00E713AC"/>
    <w:p w14:paraId="73AAC312" w14:textId="77777777" w:rsidR="00E713AC" w:rsidRDefault="00E713AC"/>
    <w:p w14:paraId="790A7E0D" w14:textId="77777777" w:rsidR="00E713AC" w:rsidRDefault="00E713AC"/>
    <w:p w14:paraId="2292A3F2" w14:textId="77777777" w:rsidR="00E713AC" w:rsidRDefault="00E713AC"/>
    <w:p w14:paraId="6EA8520E" w14:textId="77777777" w:rsidR="00E713AC" w:rsidRDefault="00E713AC"/>
    <w:p w14:paraId="4A60C671" w14:textId="77777777" w:rsidR="00E713AC" w:rsidRDefault="00E713AC"/>
    <w:p w14:paraId="7DA9B157" w14:textId="77777777" w:rsidR="00E713AC" w:rsidRDefault="00E713AC"/>
    <w:p w14:paraId="72056411" w14:textId="77777777" w:rsidR="00E713AC" w:rsidRDefault="00E713AC"/>
    <w:p w14:paraId="53DCDDFB" w14:textId="77777777" w:rsidR="00E713AC" w:rsidRDefault="00E713AC"/>
    <w:p w14:paraId="5B3CBF1F" w14:textId="77777777" w:rsidR="00E713AC" w:rsidRDefault="00E713AC"/>
    <w:p w14:paraId="447CF967" w14:textId="77777777" w:rsidR="00E713AC" w:rsidRDefault="00000000">
      <w:pPr>
        <w:pStyle w:val="Heading1"/>
        <w:spacing w:before="0"/>
      </w:pPr>
      <w:r>
        <w:t>Part 3: The Artist as Researcher (Years 2-3)</w:t>
      </w:r>
    </w:p>
    <w:p w14:paraId="0978C8E7" w14:textId="77777777" w:rsidR="00E713AC" w:rsidRDefault="00E713AC"/>
    <w:p w14:paraId="79BFE948" w14:textId="77777777" w:rsidR="00E713AC" w:rsidRDefault="00000000">
      <w:pPr>
        <w:spacing w:before="240" w:line="240" w:lineRule="auto"/>
        <w:jc w:val="center"/>
      </w:pPr>
      <w:r>
        <w:t>“Creativity is a habit, and the best creativity is a result of good work habits.”</w:t>
      </w:r>
    </w:p>
    <w:p w14:paraId="5265652B" w14:textId="77777777" w:rsidR="00E713AC" w:rsidRDefault="00000000">
      <w:pPr>
        <w:spacing w:before="240" w:line="240" w:lineRule="auto"/>
        <w:jc w:val="center"/>
        <w:rPr>
          <w:sz w:val="20"/>
          <w:szCs w:val="20"/>
        </w:rPr>
      </w:pPr>
      <w:r>
        <w:rPr>
          <w:sz w:val="20"/>
          <w:szCs w:val="20"/>
        </w:rPr>
        <w:t>Twyla Tharp, The Creative Habit (2003)</w:t>
      </w:r>
    </w:p>
    <w:p w14:paraId="16E6FFC3" w14:textId="77777777" w:rsidR="00E713AC" w:rsidRDefault="00E713AC"/>
    <w:p w14:paraId="36EE86D9" w14:textId="77777777" w:rsidR="00E713AC" w:rsidRDefault="00000000">
      <w:pPr>
        <w:pStyle w:val="Heading2"/>
        <w:rPr>
          <w:rFonts w:ascii="Arial" w:eastAsiaTheme="minorEastAsia" w:hAnsi="Arial" w:cstheme="minorBidi"/>
          <w:color w:val="auto"/>
          <w:kern w:val="0"/>
          <w:sz w:val="22"/>
          <w:szCs w:val="22"/>
          <w:lang w:val="en-US" w:eastAsia="en-US"/>
          <w14:ligatures w14:val="none"/>
        </w:rPr>
      </w:pPr>
      <w:r>
        <w:rPr>
          <w:rFonts w:ascii="Arial" w:eastAsiaTheme="minorEastAsia" w:hAnsi="Arial" w:cstheme="minorBidi"/>
          <w:color w:val="auto"/>
          <w:kern w:val="0"/>
          <w:sz w:val="22"/>
          <w:szCs w:val="22"/>
          <w:lang w:val="en-US" w:eastAsia="en-US"/>
          <w14:ligatures w14:val="none"/>
        </w:rPr>
        <w:t>Once you have successfully completed the early-stage review (often called the Qualifying Examination), this milestone affirms your practice-led trajectory and typically marks the end of compulsory coursework. Full doctoral candidacy is usually confirmed after the mid-</w:t>
      </w:r>
      <w:proofErr w:type="spellStart"/>
      <w:r>
        <w:rPr>
          <w:rFonts w:ascii="Arial" w:eastAsiaTheme="minorEastAsia" w:hAnsi="Arial" w:cstheme="minorBidi"/>
          <w:color w:val="auto"/>
          <w:kern w:val="0"/>
          <w:sz w:val="22"/>
          <w:szCs w:val="22"/>
          <w:lang w:val="en-US" w:eastAsia="en-US"/>
          <w14:ligatures w14:val="none"/>
        </w:rPr>
        <w:t>programme</w:t>
      </w:r>
      <w:proofErr w:type="spellEnd"/>
      <w:r>
        <w:rPr>
          <w:rFonts w:ascii="Arial" w:eastAsiaTheme="minorEastAsia" w:hAnsi="Arial" w:cstheme="minorBidi"/>
          <w:color w:val="auto"/>
          <w:kern w:val="0"/>
          <w:sz w:val="22"/>
          <w:szCs w:val="22"/>
          <w:lang w:val="en-US" w:eastAsia="en-US"/>
          <w14:ligatures w14:val="none"/>
        </w:rPr>
        <w:t xml:space="preserve"> proposal review. At this point, the studio becomes your primary site of knowledge production. Your time is now yours to shape through sustained, independent experimentation.</w:t>
      </w:r>
    </w:p>
    <w:p w14:paraId="77B816B5" w14:textId="77777777" w:rsidR="00E713AC" w:rsidRDefault="00000000">
      <w:pPr>
        <w:pStyle w:val="Heading2"/>
      </w:pPr>
      <w:r>
        <w:t>Methodologies for Artist-Researchers</w:t>
      </w:r>
    </w:p>
    <w:p w14:paraId="6C4C22D3" w14:textId="77777777" w:rsidR="00E713AC" w:rsidRDefault="00000000">
      <w:r>
        <w:t>Practice-based research (also called practice-led or artistic research) positions your artistic making as the central mode of inquiry. Knowledge is generated through the act of creation itself: material experiments, iterative processes, sensory engagement, and critical reflection embedded in the work. The artworks are not illustrations, they are active contributors to understanding. Your role involves staging questions in the studio, testing them through making, documenting rigorously, and reflecting on what emerges.</w:t>
      </w:r>
      <w:r>
        <w:br/>
      </w:r>
      <w:r>
        <w:br/>
      </w:r>
      <w:r>
        <w:rPr>
          <w:b/>
          <w:bCs/>
        </w:rPr>
        <w:t>Studio-Based Methods:</w:t>
      </w:r>
      <w:r>
        <w:br/>
        <w:t>The studio is your laboratory. Core methods revolve around hands-on exploration:</w:t>
      </w:r>
      <w:r>
        <w:br/>
        <w:t>• Material exploration: Investigating how specific media carry meaning or evoke response</w:t>
      </w:r>
      <w:r>
        <w:br/>
        <w:t>• Process as inquiry: Treating making as a form of thinking through iterative cycles, performative repetition, material transformation</w:t>
      </w:r>
      <w:r>
        <w:br/>
        <w:t>• Iteration and reflection: Repeated prototyping documented in journals with ongoing critical reflection</w:t>
      </w:r>
      <w:r>
        <w:br/>
      </w:r>
      <w:r>
        <w:br/>
        <w:t>These methods emphasize embodiment and materiality: your body, tools, and environment become part of the research apparatus.</w:t>
      </w:r>
      <w:r>
        <w:br/>
      </w:r>
      <w:r>
        <w:br/>
      </w:r>
      <w:r>
        <w:rPr>
          <w:b/>
          <w:bCs/>
        </w:rPr>
        <w:t>Interdisciplinary Approaches:</w:t>
      </w:r>
      <w:r>
        <w:br/>
        <w:t>Practice-based research thrives on crossing boundaries:</w:t>
      </w:r>
      <w:r>
        <w:br/>
        <w:t>• Philosophy: Engaging phenomenology for embodied perception</w:t>
      </w:r>
      <w:r>
        <w:br/>
        <w:t>• Literature: Incorporating narrative or poetic structures</w:t>
      </w:r>
      <w:r>
        <w:br/>
        <w:t>• Art history / theory: Using texts or paradigms as catalysts for new forms</w:t>
      </w:r>
      <w:r>
        <w:br/>
        <w:t>• Anthropology / sociology: Participatory elements examining social relations</w:t>
      </w:r>
      <w:r>
        <w:br/>
        <w:t>• Science and technology: Integrating computational tools, such as generative AI, and concepts from different scientific disciplines, such as bio-art processes</w:t>
      </w:r>
      <w:r>
        <w:br/>
        <w:t>• Semiotics: Applying sign theory to better understand symbols and visual language</w:t>
      </w:r>
      <w:r>
        <w:br/>
      </w:r>
      <w:r>
        <w:lastRenderedPageBreak/>
        <w:br/>
        <w:t>These bridges inform and are transformed by your practice, often leading to innovative hybrids.</w:t>
      </w:r>
      <w:r>
        <w:br/>
        <w:t>For deeper exploration, the following key texts are highly recommended:</w:t>
      </w:r>
      <w:r>
        <w:br/>
        <w:t>• Graeme Sullivan, Art Practice as Research (SAGE, 2005/2010)</w:t>
      </w:r>
      <w:r>
        <w:br/>
        <w:t>• Estelle Barrett and Barbara Bolt (eds.), Practice as Research: Approaches to Creative Arts Enquiry (I.B. Tauris, 2007/2014)</w:t>
      </w:r>
      <w:r>
        <w:br/>
        <w:t>• Henk Borgdorff, The Conflict of the Faculties (Leiden University Press, 2012)</w:t>
      </w:r>
      <w:r>
        <w:br/>
        <w:t>• Patricia Leavy, Method Meets Art: Arts-Based Research Practice (Guilford Press)</w:t>
      </w:r>
    </w:p>
    <w:p w14:paraId="3FE0E945" w14:textId="77777777" w:rsidR="00E713AC" w:rsidRDefault="00000000">
      <w:pPr>
        <w:rPr>
          <w:rFonts w:asciiTheme="minorHAnsi" w:hAnsiTheme="minorHAnsi"/>
          <w:color w:val="0F4761" w:themeColor="accent1" w:themeShade="BF"/>
          <w:sz w:val="32"/>
          <w:szCs w:val="32"/>
        </w:rPr>
      </w:pPr>
      <w:r>
        <w:rPr>
          <w:rFonts w:asciiTheme="minorHAnsi" w:hAnsiTheme="minorHAnsi"/>
          <w:color w:val="0F4761" w:themeColor="accent1" w:themeShade="BF"/>
          <w:sz w:val="32"/>
          <w:szCs w:val="32"/>
        </w:rPr>
        <w:t>Mapping the Field: The Literature Review</w:t>
      </w:r>
    </w:p>
    <w:p w14:paraId="3261D635" w14:textId="77777777" w:rsidR="00E713AC" w:rsidRDefault="00000000">
      <w:r>
        <w:t>A literature review is not a static list of books you have read; it is a critical map of the conversation you are joining. In a DFA, this map includes not just written scholarship, but also visual and material precedents, the artworks, exhibitions, and practices that form the "visual literature" of your field.</w:t>
      </w:r>
    </w:p>
    <w:p w14:paraId="6E63766F" w14:textId="77777777" w:rsidR="00E713AC" w:rsidRDefault="00000000">
      <w:pPr>
        <w:spacing w:after="0"/>
        <w:rPr>
          <w:b/>
          <w:bCs/>
        </w:rPr>
      </w:pPr>
      <w:r>
        <w:rPr>
          <w:b/>
          <w:bCs/>
        </w:rPr>
        <w:t>Why You Must Do It:</w:t>
      </w:r>
    </w:p>
    <w:p w14:paraId="78C36F97" w14:textId="77777777" w:rsidR="00E713AC" w:rsidRDefault="00000000">
      <w:pPr>
        <w:spacing w:after="0"/>
      </w:pPr>
      <w:r>
        <w:t>• Identifying the Gap: You cannot claim your work is "original" unless you know exactly what has already been done. The review proves that your project addresses a specific silence or unresolved question in contemporary art.</w:t>
      </w:r>
    </w:p>
    <w:p w14:paraId="7C9CEA04" w14:textId="77777777" w:rsidR="00E713AC" w:rsidRDefault="00000000">
      <w:pPr>
        <w:spacing w:after="0"/>
      </w:pPr>
      <w:r>
        <w:t>• Building a Theoretical Scaffold: It provides the language and concepts you need to analyze your own studio discoveries.</w:t>
      </w:r>
    </w:p>
    <w:p w14:paraId="2ACA8687" w14:textId="77777777" w:rsidR="00E713AC" w:rsidRDefault="00000000">
      <w:pPr>
        <w:spacing w:after="0"/>
      </w:pPr>
      <w:r>
        <w:t>• Justifying Methodology: It allows you to point to other artist-researchers and say, "Because these thinkers reached a limit with text, I am using practice to go further".</w:t>
      </w:r>
    </w:p>
    <w:p w14:paraId="3697B240" w14:textId="77777777" w:rsidR="00E713AC" w:rsidRDefault="00E713AC">
      <w:pPr>
        <w:spacing w:after="0"/>
      </w:pPr>
    </w:p>
    <w:p w14:paraId="749E067B" w14:textId="77777777" w:rsidR="00E713AC" w:rsidRDefault="00000000">
      <w:pPr>
        <w:spacing w:after="0"/>
        <w:rPr>
          <w:b/>
          <w:bCs/>
        </w:rPr>
      </w:pPr>
      <w:r>
        <w:rPr>
          <w:b/>
          <w:bCs/>
        </w:rPr>
        <w:t>How to Do It: The "Three-Lens" Approach:</w:t>
      </w:r>
    </w:p>
    <w:p w14:paraId="6D6B9697" w14:textId="77777777" w:rsidR="00E713AC" w:rsidRDefault="00000000">
      <w:pPr>
        <w:spacing w:after="0"/>
      </w:pPr>
      <w:r>
        <w:t>To keep your review manageable and relevant, look through these three lenses:</w:t>
      </w:r>
    </w:p>
    <w:p w14:paraId="537D0D13" w14:textId="77777777" w:rsidR="00E713AC" w:rsidRDefault="00000000">
      <w:pPr>
        <w:spacing w:after="0"/>
      </w:pPr>
      <w:r>
        <w:t>• The Theoretical Lens: What philosophers or theorists provide the "thinking tools" for your work (e.g., phenomenology, semiotics, or post-humanism)?</w:t>
      </w:r>
    </w:p>
    <w:p w14:paraId="7F6B733B" w14:textId="77777777" w:rsidR="00E713AC" w:rsidRDefault="00000000">
      <w:pPr>
        <w:spacing w:after="0"/>
      </w:pPr>
      <w:r>
        <w:t>• The Practice Lens: Which artists or exhibitions have explored similar themes or materials? How does your work extend or challenge their findings?</w:t>
      </w:r>
    </w:p>
    <w:p w14:paraId="58309CC3" w14:textId="77777777" w:rsidR="00E713AC" w:rsidRDefault="00000000">
      <w:pPr>
        <w:spacing w:after="0"/>
      </w:pPr>
      <w:r>
        <w:t>• The Contextual Lens: What is the broader cultural, historical, or scientific background of your inquiry?</w:t>
      </w:r>
    </w:p>
    <w:p w14:paraId="5BFAC81E" w14:textId="77777777" w:rsidR="00E713AC" w:rsidRDefault="00E713AC">
      <w:pPr>
        <w:spacing w:after="0"/>
      </w:pPr>
    </w:p>
    <w:p w14:paraId="3EDC1A97" w14:textId="77777777" w:rsidR="00E713AC" w:rsidRDefault="00000000">
      <w:pPr>
        <w:spacing w:after="0"/>
        <w:rPr>
          <w:b/>
          <w:bCs/>
        </w:rPr>
      </w:pPr>
      <w:r>
        <w:rPr>
          <w:b/>
          <w:bCs/>
        </w:rPr>
        <w:t>The Process: From Capture to Synthesis:</w:t>
      </w:r>
    </w:p>
    <w:p w14:paraId="1CF4D7B8" w14:textId="77777777" w:rsidR="00E713AC" w:rsidRDefault="00000000">
      <w:pPr>
        <w:spacing w:after="0"/>
      </w:pPr>
      <w:r>
        <w:t>• Start with a Personal Glossary: As you read, define key terms in your own words to clarify your understanding and reveal gaps in the current discourse.</w:t>
      </w:r>
    </w:p>
    <w:p w14:paraId="78045E8B" w14:textId="77777777" w:rsidR="00E713AC" w:rsidRDefault="00000000">
      <w:pPr>
        <w:spacing w:after="0"/>
      </w:pPr>
      <w:r>
        <w:t>• Use "Visual Literature": Treat an exhibition catalogue or a film with the same scholarly rigor as a journal article.</w:t>
      </w:r>
    </w:p>
    <w:p w14:paraId="5AABFD3F" w14:textId="77777777" w:rsidR="00E713AC" w:rsidRDefault="00000000">
      <w:pPr>
        <w:spacing w:after="0"/>
      </w:pPr>
      <w:r>
        <w:t>• Write continually: Do not wait until your final year. Write short summaries of key texts in your Research Journal immediately after reading, noting how they resonate with your current studio experiments.</w:t>
      </w:r>
    </w:p>
    <w:p w14:paraId="131F3261" w14:textId="77777777" w:rsidR="00E713AC" w:rsidRDefault="00000000">
      <w:r>
        <w:lastRenderedPageBreak/>
        <w:t>By the time you reach your QE (Year 2) and TPA (Year 3), this ongoing mapping will form the "Scholarly Blueprint" of your proposal, proving that your practice is a sophisticated advancement of existing knowledge.</w:t>
      </w:r>
    </w:p>
    <w:p w14:paraId="2EDC7A92" w14:textId="77777777" w:rsidR="00E713AC" w:rsidRDefault="00000000">
      <w:pPr>
        <w:pStyle w:val="Heading2"/>
      </w:pPr>
      <w:r>
        <w:t>Gathering and Documenting Your Research</w:t>
      </w:r>
    </w:p>
    <w:p w14:paraId="5B5709E1" w14:textId="77777777" w:rsidR="00E713AC" w:rsidRDefault="00000000">
      <w:pPr>
        <w:spacing w:after="0"/>
      </w:pPr>
      <w:r>
        <w:t>As a doctoral candidate, gathering evidence becomes as intentional as making. Documentation is integral to demonstrating rigor, tracing inquiry, and enabling reflection.</w:t>
      </w:r>
      <w:r>
        <w:br/>
      </w:r>
      <w:r>
        <w:br/>
      </w:r>
      <w:r>
        <w:rPr>
          <w:b/>
          <w:bCs/>
        </w:rPr>
        <w:t>The Studio as Laboratory:</w:t>
      </w:r>
      <w:r>
        <w:br/>
        <w:t>Systematically capture processes through:</w:t>
      </w:r>
      <w:r>
        <w:br/>
        <w:t>• Sketchbooks/notebooks (analog or hybrid digital): quick sketches, annotations, reflective notes</w:t>
      </w:r>
      <w:r>
        <w:br/>
        <w:t>• Photography: high-resolution images of work-in-progress with consistent lighting</w:t>
      </w:r>
      <w:r>
        <w:br/>
        <w:t>• Video: time-lapse or focused recordings of actions</w:t>
      </w:r>
      <w:r>
        <w:br/>
        <w:t>• Audio recordings: voice memos for immediate reflections</w:t>
      </w:r>
      <w:r>
        <w:br/>
        <w:t>Aim for comprehensive yet selective archiving. Daily habits (end-of-session photos + 3-sentence reflection) build rich evidence for thesis and defense.</w:t>
      </w:r>
      <w:r>
        <w:br/>
      </w:r>
      <w:r>
        <w:br/>
      </w:r>
      <w:r>
        <w:rPr>
          <w:b/>
          <w:bCs/>
        </w:rPr>
        <w:t>Working with People:</w:t>
      </w:r>
      <w:r>
        <w:br/>
        <w:t>When research involves participants (collaborators, viewers, community members, artists with similar practices), interviews generate rich qualitative insights.</w:t>
      </w:r>
      <w:r>
        <w:br/>
      </w:r>
      <w:r>
        <w:br/>
        <w:t>• Ethical considerations: Prioritize respect and transparency. Obtain informed consent explaining purpose, risks/benefits, anonymity, data use, and withdrawal rights. When your practice involves human participants (e.g., interviews, collaborative projects, participatory installations, or viewer interactions), ethical approval is required. When your research involves human participants, ethical approval is usually required. Consult your university’s research ethics office or supervisor for the correct procedure and forms.</w:t>
      </w:r>
    </w:p>
    <w:p w14:paraId="3522EA96" w14:textId="77777777" w:rsidR="00E713AC" w:rsidRDefault="00000000">
      <w:r>
        <w:t>Consult your supervisor early, as approval processes can take time.</w:t>
      </w:r>
      <w:r>
        <w:br/>
      </w:r>
      <w:r>
        <w:br/>
        <w:t>• Conducting effective interviews: Prepare semi-structured questions (open-ended, tied to practice) while allowing flexibility. Start with rapport-building, record with permission, keep sessions 30–60 minutes. The INCCA (International Network for the Conservation of Contemporary Art) Guide to Good Practice: Artists' Interviews (PDF, free download):</w:t>
      </w:r>
    </w:p>
    <w:p w14:paraId="178E3AE9" w14:textId="77777777" w:rsidR="00E713AC" w:rsidRDefault="00000000">
      <w:pPr>
        <w:spacing w:before="240" w:after="0"/>
      </w:pPr>
      <w:r>
        <w:t xml:space="preserve">Link: https://www.eai.org/resourceguide/collection/computer/pdf/incca.pdf </w:t>
      </w:r>
    </w:p>
    <w:p w14:paraId="4676BBE2" w14:textId="77777777" w:rsidR="00E713AC" w:rsidRDefault="00000000">
      <w:pPr>
        <w:spacing w:before="240"/>
      </w:pPr>
      <w:r>
        <w:br/>
      </w:r>
      <w:r>
        <w:rPr>
          <w:b/>
          <w:bCs/>
        </w:rPr>
        <w:t>Archival Research and Site-Specific Investigation:</w:t>
      </w:r>
      <w:r>
        <w:br/>
        <w:t>• Archival research: Engage primary sources (museum collections, historical documents, digital archives) to inform or contextualize work</w:t>
      </w:r>
      <w:r>
        <w:br/>
        <w:t>• Site-specific investigation: Explore physical / cultural locations through on-site making, photography, or interventions; document context to capture how place shapes meaning</w:t>
      </w:r>
      <w:r>
        <w:br/>
      </w:r>
      <w:r>
        <w:br/>
        <w:t>For deeper guidance, explore independently:</w:t>
      </w:r>
      <w:r>
        <w:br/>
      </w:r>
      <w:r>
        <w:lastRenderedPageBreak/>
        <w:t>• Patricia Leavy, Handbook of Arts-Based Research (Guilford Press, 2017)</w:t>
      </w:r>
      <w:r>
        <w:br/>
        <w:t>• Lyle Skains, Designing and Conducting Practice-Based Research Projects (2024)</w:t>
      </w:r>
      <w:r>
        <w:br/>
      </w:r>
    </w:p>
    <w:p w14:paraId="5412B2A1" w14:textId="77777777" w:rsidR="00E713AC" w:rsidRDefault="00000000">
      <w:pPr>
        <w:pStyle w:val="Heading2"/>
      </w:pPr>
      <w:r>
        <w:t>Academic Writing for Artists</w:t>
      </w:r>
    </w:p>
    <w:p w14:paraId="6C5BA90C" w14:textId="77777777" w:rsidR="00E713AC" w:rsidRDefault="00000000">
      <w:pPr>
        <w:spacing w:after="0"/>
      </w:pPr>
      <w:r>
        <w:t>As a doctoral candidate, academic writing transforms the embodied knowledge of your studio practice into shareable scholarship. The written component is usually between 20,000–40,000 words (or equivalent), but requirements vary significantly between institutions. Always confirm the exact word or character count with your supervisor.</w:t>
      </w:r>
      <w:r>
        <w:br/>
      </w:r>
      <w:r>
        <w:br/>
      </w:r>
      <w:r>
        <w:rPr>
          <w:b/>
          <w:bCs/>
        </w:rPr>
        <w:t>Finding Your Voice:</w:t>
      </w:r>
      <w:r>
        <w:br/>
        <w:t>Begin by writing descriptively about your processes, what materials, iterations, or actions revealed, what felt surprising or unresolved. This grounds your voice in authenticity. Use first-person where appropriate but balance with analytical distance. Start with raw journal notes, then refine for precision.</w:t>
      </w:r>
      <w:r>
        <w:br/>
      </w:r>
      <w:r>
        <w:br/>
        <w:t>Structured approaches like Jordan B. Peterson's 'Essay Writing Guide' (2014, free online) are helpful: outline first (10–15 sentences capturing core ideas), draft roughly, then edit sentence by sentence for clarity. Read exemplars from established practice-based doctoral programs (e.g., Journal of Artistic Research (JAR) expositions or open-access theses) to see how artist-researchers balance personal voice with scholarly rigor.</w:t>
      </w:r>
    </w:p>
    <w:p w14:paraId="1371140B" w14:textId="77777777" w:rsidR="00E713AC" w:rsidRDefault="00000000">
      <w:r>
        <w:br/>
        <w:t>If you wish to experiment with non-traditional forms (poetry, dramatic dialogue, creative non-fiction) to mirror your practice's nature, discuss extensively with your supervisor first. Include a clear methodological rationale ensuring examiners understand the intentionality and scholarly contribution.</w:t>
      </w:r>
      <w:r>
        <w:br/>
      </w:r>
      <w:r>
        <w:br/>
      </w:r>
      <w:r>
        <w:rPr>
          <w:b/>
          <w:bCs/>
        </w:rPr>
        <w:t>Structuring Chapters:</w:t>
      </w:r>
      <w:r>
        <w:br/>
        <w:t>Chapters often follow your practice's logic rather than strict linearity: process → reflection → theory → implications. Use Peterson's iterative method: outline, rough draft, sentence-level editing, paragraph re-ordering. A typical structure:</w:t>
      </w:r>
      <w:r>
        <w:br/>
        <w:t>• Introduction: link to research question, preview contribution</w:t>
      </w:r>
      <w:r>
        <w:br/>
        <w:t>• Body: describe practice (with evidence), analyze findings, engage theory</w:t>
      </w:r>
      <w:r>
        <w:br/>
        <w:t>• Conclusion: synthesize insights, transition forward</w:t>
      </w:r>
      <w:r>
        <w:br/>
      </w:r>
      <w:r>
        <w:br/>
        <w:t>Reverse-outline after each draft: list each paragraph's main claim, if it doesn't advance the argument, revise or remove.</w:t>
      </w:r>
      <w:r>
        <w:br/>
      </w:r>
      <w:r>
        <w:br/>
      </w:r>
      <w:r>
        <w:rPr>
          <w:b/>
          <w:bCs/>
        </w:rPr>
        <w:t>Integrating Visuals:</w:t>
      </w:r>
      <w:r>
        <w:br/>
        <w:t>Visuals are evidence and argument, not decoration. Embed high-quality images (process shots, final works) where they directly support claims. Use numbered figures with descriptive captions (e.g., "Figure 4: Sculpture derived from AI-generated series, 2025; resin and 3D-printed elements"). Reference them actively in text ("As Figure 4 illustrates...").</w:t>
      </w:r>
      <w:r>
        <w:br/>
      </w:r>
      <w:r>
        <w:lastRenderedPageBreak/>
        <w:br/>
      </w:r>
      <w:r>
        <w:rPr>
          <w:b/>
          <w:bCs/>
        </w:rPr>
        <w:t>Building Critical Reflection Through Writing</w:t>
      </w:r>
    </w:p>
    <w:p w14:paraId="741AA603" w14:textId="77777777" w:rsidR="00E713AC" w:rsidRDefault="00000000">
      <w:r>
        <w:t>A useful preparatory tool (though not formally required) is drafting a shorter critical reflective essay (5,000–10,000 characters/words). This standalone or distributed piece narrates discoveries from your practice: describe key studio moments, invoke relevant theory, and critically reflect on how your making challenges or extends ideas. Write in first-person for authenticity, balanced with analytical evidence.</w:t>
      </w:r>
    </w:p>
    <w:p w14:paraId="3D5FADE3" w14:textId="77777777" w:rsidR="00E713AC" w:rsidRDefault="00000000">
      <w:r>
        <w:br/>
        <w:t>A powerful strategy: 'write backwards'. Many candidates draft the introduction, conclusion, and much of the critical reflective essay late in the process, after final exhibition and major works are complete. Only then do you fully understand what you've accomplished. Use this hindsight to sharpen the overall narrative.</w:t>
      </w:r>
      <w:r>
        <w:br/>
      </w:r>
      <w:r>
        <w:br/>
        <w:t>For deeper guidance:</w:t>
      </w:r>
      <w:r>
        <w:br/>
        <w:t>• Shaun McNiff, Art-Based Research (1998)</w:t>
      </w:r>
      <w:r>
        <w:br/>
        <w:t>• James Elkins, Artists with PhDs (2014)</w:t>
      </w:r>
      <w:r>
        <w:br/>
        <w:t>• Katy Macleod &amp; Lin Holdridge, Thinking Through Art (2006)</w:t>
      </w:r>
      <w:r>
        <w:br/>
        <w:t>• Jordan B. Peterson's Essay Writing Guide (2014, free online)</w:t>
      </w:r>
      <w:r>
        <w:br/>
      </w:r>
      <w:r>
        <w:br/>
        <w:t>Write regularly (even 300 characters daily), share drafts with your supervisor early, embrace revision. The clarity that emerges will strengthen both thesis and your future as a thinker and maker.</w:t>
      </w:r>
    </w:p>
    <w:p w14:paraId="1A9EAD6A" w14:textId="77777777" w:rsidR="00E713AC" w:rsidRDefault="00000000">
      <w:pPr>
        <w:pStyle w:val="Heading2"/>
      </w:pPr>
      <w:r>
        <w:t>Using AI Effectively and Ethically</w:t>
      </w:r>
    </w:p>
    <w:p w14:paraId="546F8E14" w14:textId="77777777" w:rsidR="00E713AC" w:rsidRDefault="00000000">
      <w:r>
        <w:t>AI tools (e.g., ChatGPT, Grok, DeepSeek) can support, but never replace, your intellectual and creative labor. Use them to enhance your process while preserving authenticity and learning.</w:t>
      </w:r>
      <w:r>
        <w:br/>
      </w:r>
      <w:r>
        <w:br/>
      </w:r>
      <w:r>
        <w:rPr>
          <w:b/>
          <w:bCs/>
        </w:rPr>
        <w:t>Acceptable Uses:</w:t>
      </w:r>
      <w:r>
        <w:br/>
        <w:t>• Finding weak points in arguments or inconsistencies in drafts</w:t>
      </w:r>
      <w:r>
        <w:br/>
        <w:t>• Brainstorming ideas (alternative titles, conceptual connections)</w:t>
      </w:r>
      <w:r>
        <w:br/>
        <w:t>• Proofreading for grammar, clarity, flow (followed by your own review)</w:t>
      </w:r>
      <w:r>
        <w:br/>
        <w:t>• Simple translation work for short passages (verify accuracy yourself)</w:t>
      </w:r>
      <w:r>
        <w:br/>
        <w:t>• Summarizing dense secondary sources to help you better understand them</w:t>
      </w:r>
      <w:r>
        <w:br/>
        <w:t>• Generating initial outlines as a starting scaffold that you completely rewrite</w:t>
      </w:r>
      <w:r>
        <w:br/>
      </w:r>
      <w:r>
        <w:br/>
      </w:r>
      <w:r>
        <w:rPr>
          <w:b/>
          <w:bCs/>
        </w:rPr>
        <w:t>Unacceptable Uses:</w:t>
      </w:r>
      <w:r>
        <w:br/>
        <w:t>• Using AI to write thesis sections, critical essays, literature reviews, methodological justifications, captions, or artist statements</w:t>
      </w:r>
      <w:r>
        <w:br/>
        <w:t>• Submitting AI-generated text as your own without full disclosure</w:t>
      </w:r>
      <w:r>
        <w:br/>
        <w:t>• Fabricating references, citations, or documentation</w:t>
      </w:r>
      <w:r>
        <w:br/>
      </w:r>
      <w:r>
        <w:br/>
      </w:r>
      <w:r>
        <w:rPr>
          <w:b/>
          <w:bCs/>
        </w:rPr>
        <w:t>Critical Research Findings:</w:t>
      </w:r>
      <w:r>
        <w:br/>
      </w:r>
      <w:r>
        <w:lastRenderedPageBreak/>
        <w:t>Research from MIT Media Lab (2025) shows that overreliance on AI for writing leads to:</w:t>
      </w:r>
      <w:r>
        <w:br/>
        <w:t>• 83% inability to recall even a single sentence minutes after ‘writing’</w:t>
      </w:r>
      <w:r>
        <w:br/>
        <w:t>• Reduced critical thinking and lower brain engagement</w:t>
      </w:r>
      <w:r>
        <w:br/>
        <w:t>• Weakest neural connectivity with no creation of new neural networks</w:t>
      </w:r>
      <w:r>
        <w:br/>
        <w:t>• 80-90% deficits in memory / recall compared to non-AI groups</w:t>
      </w:r>
      <w:r>
        <w:br/>
      </w:r>
      <w:r>
        <w:br/>
        <w:t>In other words: using AI to write your thesis results in almost zero learning and recall.</w:t>
      </w:r>
      <w:r>
        <w:br/>
      </w:r>
      <w:r>
        <w:br/>
      </w:r>
      <w:r>
        <w:rPr>
          <w:b/>
          <w:bCs/>
        </w:rPr>
        <w:t>University Guidelines:</w:t>
      </w:r>
    </w:p>
    <w:p w14:paraId="56AA758C" w14:textId="77777777" w:rsidR="00E713AC" w:rsidRDefault="00000000">
      <w:r>
        <w:t>Many universities now have specific policies regarding the use of generative AI tools (such as ChatGPT, Claude, Midjourney, etc.) in doctoral research and thesis writing.</w:t>
      </w:r>
    </w:p>
    <w:p w14:paraId="646C655B" w14:textId="77777777" w:rsidR="00E713AC" w:rsidRDefault="00000000">
      <w:pPr>
        <w:spacing w:after="0"/>
      </w:pPr>
      <w:r>
        <w:t>It is essential to:</w:t>
      </w:r>
    </w:p>
    <w:p w14:paraId="2D794AAC" w14:textId="77777777" w:rsidR="00E713AC" w:rsidRDefault="00000000">
      <w:pPr>
        <w:spacing w:after="0"/>
      </w:pPr>
      <w:r>
        <w:t xml:space="preserve">• </w:t>
      </w:r>
      <w:proofErr w:type="spellStart"/>
      <w:r>
        <w:t>Familiarise</w:t>
      </w:r>
      <w:proofErr w:type="spellEnd"/>
      <w:r>
        <w:t xml:space="preserve"> yourself with your own institution’s current guidelines on AI use.</w:t>
      </w:r>
    </w:p>
    <w:p w14:paraId="21327091" w14:textId="77777777" w:rsidR="00E713AC" w:rsidRDefault="00000000">
      <w:pPr>
        <w:spacing w:after="0"/>
      </w:pPr>
      <w:r>
        <w:t>• Declare any use of generative AI in your thesis or supporting documents, clearly stating the tool used, the purpose, and the specific contribution it made.</w:t>
      </w:r>
    </w:p>
    <w:p w14:paraId="27153A7A" w14:textId="77777777" w:rsidR="00E713AC" w:rsidRDefault="00000000">
      <w:pPr>
        <w:spacing w:after="0"/>
      </w:pPr>
      <w:r>
        <w:t>• Ensure that all AI-assisted content is properly cited where required and that the final work remains your own intellectual and creative responsibility.</w:t>
      </w:r>
    </w:p>
    <w:p w14:paraId="74711EF4" w14:textId="77777777" w:rsidR="00E713AC" w:rsidRDefault="00E713AC">
      <w:pPr>
        <w:spacing w:after="0"/>
      </w:pPr>
    </w:p>
    <w:p w14:paraId="32BD5F2B" w14:textId="77777777" w:rsidR="00E713AC" w:rsidRDefault="00000000">
      <w:r>
        <w:t>Policies in this area are evolving rapidly, so check your university’s graduate school or research office for the most up-to-date regulations before submitting any major written work.</w:t>
      </w:r>
    </w:p>
    <w:p w14:paraId="25F8B716" w14:textId="77777777" w:rsidR="00E713AC" w:rsidRDefault="00000000">
      <w:pPr>
        <w:rPr>
          <w:b/>
          <w:bCs/>
        </w:rPr>
      </w:pPr>
      <w:r>
        <w:rPr>
          <w:b/>
          <w:bCs/>
        </w:rPr>
        <w:t>Important Reminder:</w:t>
      </w:r>
    </w:p>
    <w:p w14:paraId="51947EE3" w14:textId="77777777" w:rsidR="00E713AC" w:rsidRDefault="00000000">
      <w:r>
        <w:t>Regardless of institutional rules, academic integrity remains your responsibility. Generative AI should support your thinking and workflow, never replace your own critical reflection, artistic decision-making, or original contribution. Supervisors can quickly spot unacceptable AI use (generic phrasing, lack of personal voice, inconsistent depth, tone shifts). Discuss your AI plans early with your supervisor to align with policy and minimize risk of disciplinary action.</w:t>
      </w:r>
    </w:p>
    <w:p w14:paraId="48D4B7A3" w14:textId="77777777" w:rsidR="00E713AC" w:rsidRDefault="00000000">
      <w:pPr>
        <w:pStyle w:val="Heading2"/>
      </w:pPr>
      <w:r>
        <w:t>Citing Your Sources</w:t>
      </w:r>
    </w:p>
    <w:p w14:paraId="2395B4A5" w14:textId="77777777" w:rsidR="00E713AC" w:rsidRDefault="00000000">
      <w:pPr>
        <w:spacing w:after="0"/>
      </w:pPr>
      <w:r>
        <w:t>Examiners frequently review references and bibliography early in assessment. A strong, well-curated list signals you've covered relevant ground and demonstrated scholarly breadth, weak citing undermines credibility before content is even read.</w:t>
      </w:r>
      <w:r>
        <w:br/>
      </w:r>
    </w:p>
    <w:p w14:paraId="413FDBE8" w14:textId="77777777" w:rsidR="00E713AC" w:rsidRDefault="00000000">
      <w:pPr>
        <w:spacing w:after="0"/>
        <w:rPr>
          <w:b/>
          <w:bCs/>
        </w:rPr>
      </w:pPr>
      <w:r>
        <w:rPr>
          <w:b/>
          <w:bCs/>
        </w:rPr>
        <w:t>Bibliography vs. References:</w:t>
      </w:r>
    </w:p>
    <w:p w14:paraId="49E43570" w14:textId="77777777" w:rsidR="00E713AC" w:rsidRDefault="00000000">
      <w:r>
        <w:t>References is a subset of Bibliography - everything cited must appear in both lists, but Bibliography will be longer. Both are required for a DFA thesis:</w:t>
      </w:r>
    </w:p>
    <w:p w14:paraId="52E2E194" w14:textId="77777777" w:rsidR="00E713AC" w:rsidRDefault="00000000">
      <w:pPr>
        <w:spacing w:after="0"/>
      </w:pPr>
      <w:r>
        <w:t>• References: Only sources directly cited in your text (evidence trail)</w:t>
      </w:r>
    </w:p>
    <w:p w14:paraId="64F4C713" w14:textId="77777777" w:rsidR="00E713AC" w:rsidRDefault="00000000">
      <w:pPr>
        <w:spacing w:after="0"/>
      </w:pPr>
      <w:r>
        <w:t>• Bibliography: All sources consulted, cited or not (demonstrates full scholarly engagement)</w:t>
      </w:r>
    </w:p>
    <w:p w14:paraId="1D861BB7" w14:textId="77777777" w:rsidR="00E713AC" w:rsidRDefault="00E713AC">
      <w:pPr>
        <w:spacing w:after="0"/>
      </w:pPr>
    </w:p>
    <w:p w14:paraId="3CE1FFF7" w14:textId="77777777" w:rsidR="00E713AC" w:rsidRDefault="00000000">
      <w:r>
        <w:br/>
      </w:r>
      <w:r>
        <w:rPr>
          <w:b/>
          <w:bCs/>
        </w:rPr>
        <w:t>Standard Citation Styles:</w:t>
      </w:r>
      <w:r>
        <w:br/>
      </w:r>
      <w:r>
        <w:lastRenderedPageBreak/>
        <w:t>Choose a style consistent with fine art scholarship and confirm with your supervisor:</w:t>
      </w:r>
      <w:r>
        <w:br/>
        <w:t>• Chicago Manual of Style (17th ed., Notes-Bibliography or Author-Date): Most common in art history and practice-based research; excellent for artworks, exhibitions, and non-print sources</w:t>
      </w:r>
      <w:r>
        <w:br/>
        <w:t>• MLA (9th ed.): Suitable for humanities-focused theses</w:t>
      </w:r>
      <w:r>
        <w:br/>
      </w:r>
      <w:r>
        <w:br/>
        <w:t>Use reference management tools like Zotero, EndNote, or Mendeley to automate formatting.</w:t>
      </w:r>
      <w:r>
        <w:br/>
      </w:r>
      <w:r>
        <w:br/>
      </w:r>
      <w:r>
        <w:rPr>
          <w:b/>
          <w:bCs/>
        </w:rPr>
        <w:t>Citing Non-Traditional Sources:</w:t>
      </w:r>
      <w:r>
        <w:t xml:space="preserve"> (Chicago Notes - Bibliography examples)</w:t>
      </w:r>
      <w:r>
        <w:br/>
        <w:t>• Artworks:</w:t>
      </w:r>
      <w:r>
        <w:br/>
        <w:t xml:space="preserve">Footnote: Olafur Eliasson, The Weather Project, 2003, </w:t>
      </w:r>
      <w:proofErr w:type="spellStart"/>
      <w:r>
        <w:t>Monofrequency</w:t>
      </w:r>
      <w:proofErr w:type="spellEnd"/>
      <w:r>
        <w:t xml:space="preserve"> lights, projection foil, haze machines, mirror ceiling, Tate Modern, London.</w:t>
      </w:r>
      <w:r>
        <w:br/>
        <w:t>• Exhibitions:</w:t>
      </w:r>
      <w:r>
        <w:br/>
        <w:t>Footnote: Hans Ulrich Obrist, The Way Things Are, Serpentine Gallery, London, 10 June–17 August 2014.</w:t>
      </w:r>
      <w:r>
        <w:br/>
        <w:t>• Interviews:</w:t>
      </w:r>
      <w:r>
        <w:br/>
        <w:t>Footnote: Marina Abramović, interview by the author, Venice, 5 May 2025.</w:t>
      </w:r>
      <w:r>
        <w:br/>
        <w:t>• Films / Performances:</w:t>
      </w:r>
      <w:r>
        <w:br/>
        <w:t>Footnote: Bill Viola, The Greeting, 1995, Video installation, Whitney Museum of American Art, New York.</w:t>
      </w:r>
      <w:r>
        <w:br/>
        <w:t>• For digital / ephemeral sources, include access date, URL / DOI, and stable identifiers if available.</w:t>
      </w:r>
    </w:p>
    <w:p w14:paraId="45258152" w14:textId="77777777" w:rsidR="00E713AC" w:rsidRDefault="00000000">
      <w:r>
        <w:br/>
      </w:r>
      <w:r>
        <w:rPr>
          <w:b/>
          <w:bCs/>
        </w:rPr>
        <w:t>Creating a Comprehensive Bibliography:</w:t>
      </w:r>
      <w:r>
        <w:br/>
        <w:t>Aim for a bibliography reflecting your project's interdisciplinary scope, include art-historical precedents, theoretical texts, artist writings, exhibition catalogues, interviews, films, practice-based theses. Organize alphabetically; separate into primary/secondary sources if helpful. Include diverse media to show engagement beyond text (20–40+ entries typical for DFA). Update iteratively as you read and make.</w:t>
      </w:r>
      <w:r>
        <w:br/>
      </w:r>
      <w:r>
        <w:br/>
        <w:t>Quick reference:</w:t>
      </w:r>
      <w:r>
        <w:br/>
        <w:t>• Chicago Manual of Style Online (chicagomanualofstyle.org)</w:t>
      </w:r>
      <w:r>
        <w:br/>
        <w:t>• Purdue OWL (owl.purdue.edu)</w:t>
      </w:r>
    </w:p>
    <w:p w14:paraId="4ADEF16B" w14:textId="77777777" w:rsidR="00E713AC" w:rsidRDefault="00E713AC"/>
    <w:p w14:paraId="65E06C69" w14:textId="77777777" w:rsidR="00E713AC" w:rsidRDefault="00E713AC"/>
    <w:p w14:paraId="6DABF07A" w14:textId="77777777" w:rsidR="00E713AC" w:rsidRDefault="00E713AC"/>
    <w:p w14:paraId="78356D94" w14:textId="77777777" w:rsidR="00E713AC" w:rsidRDefault="00E713AC"/>
    <w:p w14:paraId="34B9D14F" w14:textId="77777777" w:rsidR="00E713AC" w:rsidRDefault="00E713AC"/>
    <w:p w14:paraId="579F97FE" w14:textId="77777777" w:rsidR="00E713AC" w:rsidRDefault="00E713AC"/>
    <w:p w14:paraId="2096D261" w14:textId="77777777" w:rsidR="00E713AC" w:rsidRDefault="00E713AC"/>
    <w:p w14:paraId="55118451" w14:textId="77777777" w:rsidR="00E713AC" w:rsidRDefault="00E713AC"/>
    <w:p w14:paraId="1C0DF04B" w14:textId="77777777" w:rsidR="00E713AC" w:rsidRDefault="00E713AC"/>
    <w:p w14:paraId="5DC8310E" w14:textId="77777777" w:rsidR="00E713AC" w:rsidRDefault="00E713AC"/>
    <w:p w14:paraId="640ECEAF" w14:textId="77777777" w:rsidR="00E713AC" w:rsidRDefault="00000000">
      <w:pPr>
        <w:pStyle w:val="Heading1"/>
        <w:spacing w:before="0"/>
      </w:pPr>
      <w:r>
        <w:t>Part 4: Thesis and Examination (Years 3-4)</w:t>
      </w:r>
    </w:p>
    <w:p w14:paraId="271BFF4B" w14:textId="77777777" w:rsidR="00E713AC" w:rsidRDefault="00E713AC"/>
    <w:p w14:paraId="781DB36A" w14:textId="77777777" w:rsidR="00E713AC" w:rsidRDefault="00000000">
      <w:pPr>
        <w:spacing w:after="0" w:line="360" w:lineRule="auto"/>
        <w:jc w:val="center"/>
      </w:pPr>
      <w:r>
        <w:t>“Writing is not a matter of choice for the artist-</w:t>
      </w:r>
      <w:proofErr w:type="gramStart"/>
      <w:r>
        <w:t>researcher;</w:t>
      </w:r>
      <w:proofErr w:type="gramEnd"/>
    </w:p>
    <w:p w14:paraId="2678DB2D" w14:textId="77777777" w:rsidR="00E713AC" w:rsidRDefault="00000000">
      <w:pPr>
        <w:spacing w:after="0" w:line="360" w:lineRule="auto"/>
        <w:jc w:val="center"/>
      </w:pPr>
      <w:r>
        <w:t xml:space="preserve">it is </w:t>
      </w:r>
      <w:proofErr w:type="gramStart"/>
      <w:r>
        <w:t>the means by which</w:t>
      </w:r>
      <w:proofErr w:type="gramEnd"/>
      <w:r>
        <w:t xml:space="preserve"> practice becomes knowledge, reflection becomes insight,</w:t>
      </w:r>
    </w:p>
    <w:p w14:paraId="057D15F5" w14:textId="77777777" w:rsidR="00E713AC" w:rsidRDefault="00000000">
      <w:pPr>
        <w:spacing w:after="0" w:line="360" w:lineRule="auto"/>
        <w:jc w:val="center"/>
      </w:pPr>
      <w:r>
        <w:t>and the intuitive becomes articulate.”</w:t>
      </w:r>
    </w:p>
    <w:p w14:paraId="2AC00BDB" w14:textId="77777777" w:rsidR="00E713AC" w:rsidRDefault="00E713AC">
      <w:pPr>
        <w:spacing w:after="0" w:line="240" w:lineRule="auto"/>
        <w:jc w:val="center"/>
      </w:pPr>
    </w:p>
    <w:p w14:paraId="24939EB6" w14:textId="77777777" w:rsidR="00E713AC" w:rsidRDefault="00000000">
      <w:pPr>
        <w:jc w:val="center"/>
        <w:rPr>
          <w:sz w:val="20"/>
          <w:szCs w:val="20"/>
        </w:rPr>
      </w:pPr>
      <w:r>
        <w:rPr>
          <w:sz w:val="20"/>
          <w:szCs w:val="20"/>
        </w:rPr>
        <w:t>Adapted from Barbara Bolt, ‘Practice as Research in the Visual Arts’ (2007)</w:t>
      </w:r>
    </w:p>
    <w:p w14:paraId="4E3C70E7" w14:textId="77777777" w:rsidR="00E713AC" w:rsidRDefault="00E713AC">
      <w:pPr>
        <w:rPr>
          <w:sz w:val="20"/>
          <w:szCs w:val="20"/>
        </w:rPr>
      </w:pPr>
    </w:p>
    <w:p w14:paraId="7FC41E03" w14:textId="77777777" w:rsidR="00E713AC" w:rsidRDefault="00000000">
      <w:r>
        <w:t>You have reached the culminating phase of your journey. Following the successful mid-</w:t>
      </w:r>
      <w:proofErr w:type="spellStart"/>
      <w:r>
        <w:t>programme</w:t>
      </w:r>
      <w:proofErr w:type="spellEnd"/>
      <w:r>
        <w:t xml:space="preserve"> proposal review, your independent research, sustained making, and critical reflection now converge toward the final submission and defense. The exhibition and thesis oral defense form a holistic assessment of your contribution to the field.</w:t>
      </w:r>
    </w:p>
    <w:p w14:paraId="21C05FF7" w14:textId="77777777" w:rsidR="00E713AC" w:rsidRDefault="00000000">
      <w:pPr>
        <w:pStyle w:val="Heading2"/>
      </w:pPr>
      <w:r>
        <w:t>Structuring the Practice-Based Thesis</w:t>
      </w:r>
    </w:p>
    <w:p w14:paraId="6C2E3868" w14:textId="77777777" w:rsidR="00E713AC" w:rsidRDefault="00000000">
      <w:pPr>
        <w:spacing w:after="0"/>
      </w:pPr>
      <w:r>
        <w:t>The DFA thesis is a symbiotic entity: the practical work (exhibition, series, installation, performance) is the core doctoral contribution, while the written component provides critical reflection, theoretical framing, methodological transparency, and evidence of rigor. Together they demonstrate that your practice generates new knowledge in fine art.</w:t>
      </w:r>
      <w:r>
        <w:br/>
      </w:r>
      <w:r>
        <w:br/>
      </w:r>
      <w:r>
        <w:rPr>
          <w:b/>
          <w:bCs/>
        </w:rPr>
        <w:t>The Symbiotic Relationship:</w:t>
      </w:r>
      <w:r>
        <w:br/>
        <w:t xml:space="preserve">The practical work </w:t>
      </w:r>
      <w:proofErr w:type="gramStart"/>
      <w:r>
        <w:t>leads:</w:t>
      </w:r>
      <w:proofErr w:type="gramEnd"/>
      <w:r>
        <w:t xml:space="preserve"> insights emerge first from making. The writing follows to articulate how the practice constitutes research, situate it contextually, critically reflect on implications, and provide evidence. The two are interdependent examiners assess the whole: artistic innovation + intellectual depth + coherence between practice and text.</w:t>
      </w:r>
      <w:r>
        <w:br/>
      </w:r>
      <w:r>
        <w:br/>
      </w:r>
      <w:r>
        <w:rPr>
          <w:b/>
          <w:bCs/>
        </w:rPr>
        <w:t>Models of Thesis Structure:</w:t>
      </w:r>
      <w:r>
        <w:br/>
        <w:t>Choose the model that best serves your project (discuss with your supervisor early):</w:t>
      </w:r>
      <w:r>
        <w:br/>
      </w:r>
      <w:r>
        <w:br/>
        <w:t>• Integrated: Written thesis and creative work are interwoven throughout. Chapters alternate/blend description of making, visual documentation, theoretical analysis, and reflection. Suits highly process-driven or hybrid projects.</w:t>
      </w:r>
      <w:r>
        <w:br/>
      </w:r>
      <w:r>
        <w:br/>
        <w:t>• Parallel: Thesis divides into distinct parts: substantial written dissertation followed by separate portfolio / exhibition documentation section. Visuals grouped with cross-references linking text to images. Works well for large-scale or exhibition-heavy projects.</w:t>
      </w:r>
      <w:r>
        <w:br/>
      </w:r>
      <w:r>
        <w:lastRenderedPageBreak/>
        <w:br/>
        <w:t>• Sequential: Written component precedes creative presentation, thesis narrates the journey, then exhibition assessed as embodied outcome. Less common but useful if writing needs to establish theoretical groundwork first.</w:t>
      </w:r>
    </w:p>
    <w:p w14:paraId="4436D808" w14:textId="77777777" w:rsidR="00E713AC" w:rsidRDefault="00000000">
      <w:pPr>
        <w:spacing w:after="0"/>
      </w:pPr>
      <w:r>
        <w:br/>
        <w:t>Most DFA candidates use integrated or parallel models to emphasize practice's centrality. Include high-quality visuals throughout according to your university’s formatting guidelines.</w:t>
      </w:r>
    </w:p>
    <w:p w14:paraId="070A741D" w14:textId="77777777" w:rsidR="00E713AC" w:rsidRDefault="00000000">
      <w:pPr>
        <w:spacing w:after="0"/>
      </w:pPr>
      <w:r>
        <w:rPr>
          <w:b/>
          <w:bCs/>
        </w:rPr>
        <w:t>Note:</w:t>
      </w:r>
      <w:r>
        <w:t xml:space="preserve"> See Appendices for a typical outline of the DFA written thesis component.</w:t>
      </w:r>
      <w:r>
        <w:br/>
      </w:r>
      <w:r>
        <w:br/>
      </w:r>
      <w:r>
        <w:rPr>
          <w:b/>
          <w:bCs/>
        </w:rPr>
        <w:t>The Role of the Exhibition:</w:t>
      </w:r>
      <w:r>
        <w:br/>
        <w:t>The exhibition (or equivalent final project) is the primary mode of submission and assessment. It must demonstrate:</w:t>
      </w:r>
      <w:r>
        <w:br/>
        <w:t>• Originality and technical / conceptual maturity</w:t>
      </w:r>
      <w:r>
        <w:br/>
        <w:t>• Contribution to contemporary fine art</w:t>
      </w:r>
      <w:r>
        <w:br/>
        <w:t>• Supported documentation (process records, catalogue texts, video if performative)</w:t>
      </w:r>
      <w:r>
        <w:br/>
      </w:r>
      <w:r>
        <w:br/>
        <w:t>Dedicate thesis space to describing the exhibition's conceptual framework, installation choices, viewer interaction, and how it realizes the research question. The oral defense will include discussion of both exhibition and written thesis.</w:t>
      </w:r>
      <w:r>
        <w:br/>
      </w:r>
      <w:r>
        <w:br/>
      </w:r>
      <w:r>
        <w:rPr>
          <w:b/>
          <w:bCs/>
        </w:rPr>
        <w:t>Documenting Your Final Work:</w:t>
      </w:r>
      <w:r>
        <w:br/>
        <w:t>High-quality documentation is essential for examiners:</w:t>
      </w:r>
      <w:r>
        <w:br/>
        <w:t>• Photography: Professional-level shots (high-resolution, consistent lighting, multiple angles, detail close-ups, installation views)</w:t>
      </w:r>
      <w:r>
        <w:br/>
        <w:t>• Video/Audio: For time-based / performative work, edited clips showing process and final state (5–15 minutes max)</w:t>
      </w:r>
      <w:r>
        <w:br/>
        <w:t>• Technical specifications: Dimensions, materials, duration, interactive elements</w:t>
      </w:r>
      <w:r>
        <w:br/>
        <w:t>• Submission format: Embed visuals in digital thesis PDF; provide separate high-res files if required</w:t>
      </w:r>
      <w:r>
        <w:br/>
      </w:r>
      <w:r>
        <w:br/>
        <w:t>Document iteratively throughout Years 3–4, don't wait until the end. This archive will also support your defense presentation and future portfolio.</w:t>
      </w:r>
    </w:p>
    <w:p w14:paraId="371541C5" w14:textId="77777777" w:rsidR="00E713AC" w:rsidRDefault="00000000">
      <w:pPr>
        <w:pStyle w:val="Heading2"/>
      </w:pPr>
      <w:r>
        <w:t>Preparing for Your Thesis Defense</w:t>
      </w:r>
    </w:p>
    <w:p w14:paraId="4588F61D" w14:textId="77777777" w:rsidR="00E713AC" w:rsidRDefault="00000000">
      <w:pPr>
        <w:spacing w:after="0"/>
        <w:rPr>
          <w:b/>
          <w:bCs/>
        </w:rPr>
      </w:pPr>
      <w:r>
        <w:t>The Thesis Defense (viva voce or oral examination) is a formal academic examination in the form of a scholarly discussion. It is an opportunity for you to defend your body of work, the written thesis, and the relationship between the two. It typically occurs after submission of the written thesis and exhibition documentation, involving supervisors, internal examiners, and an external examiner. Duration is 60–120 minutes.</w:t>
      </w:r>
      <w:r>
        <w:br/>
      </w:r>
      <w:r>
        <w:br/>
      </w:r>
      <w:r>
        <w:rPr>
          <w:b/>
          <w:bCs/>
        </w:rPr>
        <w:t>What to Expect:</w:t>
      </w:r>
    </w:p>
    <w:p w14:paraId="32567E51" w14:textId="77777777" w:rsidR="00E713AC" w:rsidRDefault="00000000">
      <w:r>
        <w:rPr>
          <w:rFonts w:ascii="Arial Regular" w:eastAsia="SimHei" w:hAnsi="Arial Regular" w:cs="Arial Regular"/>
          <w:lang w:eastAsia="zh-CN" w:bidi="ar"/>
        </w:rPr>
        <w:t xml:space="preserve">Unlike traditional PhD </w:t>
      </w:r>
      <w:proofErr w:type="spellStart"/>
      <w:r>
        <w:rPr>
          <w:rFonts w:ascii="Arial Regular" w:eastAsia="SimHei" w:hAnsi="Arial Regular" w:cs="Arial Regular"/>
          <w:lang w:eastAsia="zh-CN" w:bidi="ar"/>
        </w:rPr>
        <w:t>vivas</w:t>
      </w:r>
      <w:proofErr w:type="spellEnd"/>
      <w:r>
        <w:rPr>
          <w:rFonts w:ascii="Arial Regular" w:eastAsia="SimHei" w:hAnsi="Arial Regular" w:cs="Arial Regular"/>
          <w:lang w:eastAsia="zh-CN" w:bidi="ar"/>
        </w:rPr>
        <w:t xml:space="preserve">, the DFA defense is </w:t>
      </w:r>
      <w:proofErr w:type="gramStart"/>
      <w:r>
        <w:rPr>
          <w:rFonts w:ascii="Arial Regular" w:eastAsia="SimHei" w:hAnsi="Arial Regular" w:cs="Arial Regular"/>
          <w:lang w:eastAsia="zh-CN" w:bidi="ar"/>
        </w:rPr>
        <w:t>practice-centered</w:t>
      </w:r>
      <w:proofErr w:type="gramEnd"/>
      <w:r>
        <w:rPr>
          <w:rFonts w:ascii="Arial Regular" w:eastAsia="SimHei" w:hAnsi="Arial Regular" w:cs="Arial Regular"/>
          <w:lang w:eastAsia="zh-CN" w:bidi="ar"/>
        </w:rPr>
        <w:t xml:space="preserve">. Examiners evaluate both artistic merit and critical reflection. </w:t>
      </w:r>
      <w:r>
        <w:t>Expect:</w:t>
      </w:r>
    </w:p>
    <w:p w14:paraId="3B38C3B7" w14:textId="77777777" w:rsidR="00E713AC" w:rsidRDefault="00000000">
      <w:pPr>
        <w:spacing w:afterLines="50" w:after="120" w:line="240" w:lineRule="auto"/>
        <w:rPr>
          <w:rFonts w:ascii="Arial Regular" w:eastAsia="SimHei" w:hAnsi="Arial Regular" w:cs="Arial Regular"/>
        </w:rPr>
      </w:pPr>
      <w:r>
        <w:rPr>
          <w:rFonts w:ascii="Arial Regular" w:eastAsia="SimHei" w:hAnsi="Arial Regular" w:cs="Arial Regular"/>
          <w:lang w:eastAsia="zh-CN" w:bidi="ar"/>
        </w:rPr>
        <w:lastRenderedPageBreak/>
        <w:t>• </w:t>
      </w:r>
      <w:r>
        <w:rPr>
          <w:rStyle w:val="Strong"/>
          <w:rFonts w:ascii="Arial Bold" w:eastAsia="SimHei" w:hAnsi="Arial Bold" w:cs="Arial Bold"/>
          <w:bCs w:val="0"/>
          <w:lang w:eastAsia="zh-CN" w:bidi="ar"/>
        </w:rPr>
        <w:t>Short presentation by you (10–20 minutes)</w:t>
      </w:r>
      <w:r>
        <w:rPr>
          <w:rStyle w:val="Strong"/>
          <w:rFonts w:ascii="Arial Regular" w:eastAsia="SimHei" w:hAnsi="Arial Regular" w:cs="Arial Regular"/>
          <w:b w:val="0"/>
          <w:lang w:eastAsia="zh-CN" w:bidi="ar"/>
        </w:rPr>
        <w:t>:</w:t>
      </w:r>
      <w:r>
        <w:rPr>
          <w:rFonts w:ascii="Arial Regular" w:eastAsia="SimHei" w:hAnsi="Arial Regular" w:cs="Arial Regular"/>
          <w:lang w:eastAsia="zh-CN" w:bidi="ar"/>
        </w:rPr>
        <w:t> summarize research question, key artworks / processes, methodology, contributions, and the relationship between practice and writing</w:t>
      </w:r>
    </w:p>
    <w:p w14:paraId="0BB9189A" w14:textId="77777777" w:rsidR="00E713AC" w:rsidRDefault="00000000">
      <w:pPr>
        <w:spacing w:after="0"/>
        <w:rPr>
          <w:rFonts w:ascii="Arial Regular" w:eastAsia="SimHei" w:hAnsi="Arial Regular" w:cs="Arial Regular"/>
        </w:rPr>
      </w:pPr>
      <w:r>
        <w:rPr>
          <w:rFonts w:ascii="Arial Regular" w:eastAsia="SimHei" w:hAnsi="Arial Regular" w:cs="Arial Regular"/>
          <w:lang w:eastAsia="zh-CN" w:bidi="ar"/>
        </w:rPr>
        <w:t>• </w:t>
      </w:r>
      <w:r>
        <w:rPr>
          <w:rStyle w:val="Strong"/>
          <w:rFonts w:ascii="Arial Bold" w:eastAsia="SimHei" w:hAnsi="Arial Bold" w:cs="Arial Bold"/>
          <w:bCs w:val="0"/>
          <w:lang w:eastAsia="zh-CN" w:bidi="ar"/>
        </w:rPr>
        <w:t>Q&amp;A session</w:t>
      </w:r>
      <w:r>
        <w:rPr>
          <w:rStyle w:val="Strong"/>
          <w:rFonts w:ascii="Arial Regular" w:eastAsia="SimHei" w:hAnsi="Arial Regular" w:cs="Arial Regular"/>
          <w:b w:val="0"/>
          <w:lang w:eastAsia="zh-CN" w:bidi="ar"/>
        </w:rPr>
        <w:t>:</w:t>
      </w:r>
      <w:r>
        <w:rPr>
          <w:rFonts w:ascii="Arial Regular" w:eastAsia="SimHei" w:hAnsi="Arial Regular" w:cs="Arial Regular"/>
          <w:lang w:eastAsia="zh-CN" w:bidi="ar"/>
        </w:rPr>
        <w:t> Examiners will ask targeted questions, including but not limited to:</w:t>
      </w:r>
    </w:p>
    <w:p w14:paraId="56F18C9B" w14:textId="77777777" w:rsidR="00E713AC" w:rsidRDefault="00000000">
      <w:pPr>
        <w:numPr>
          <w:ilvl w:val="0"/>
          <w:numId w:val="1"/>
        </w:numPr>
        <w:spacing w:after="0" w:line="240" w:lineRule="auto"/>
        <w:ind w:leftChars="300" w:left="1100" w:hangingChars="200" w:hanging="440"/>
        <w:rPr>
          <w:rFonts w:ascii="Arial Regular" w:eastAsia="SimHei" w:hAnsi="Arial Regular" w:cs="Arial Regular"/>
        </w:rPr>
      </w:pPr>
      <w:r>
        <w:rPr>
          <w:rFonts w:ascii="Arial Regular" w:eastAsia="SimHei" w:hAnsi="Arial Regular" w:cs="Arial Regular"/>
        </w:rPr>
        <w:t>Questions on practice: "Why this material choice?", "How does the exhibition embody your findings?"</w:t>
      </w:r>
    </w:p>
    <w:p w14:paraId="0BAC0D26" w14:textId="77777777" w:rsidR="00E713AC" w:rsidRDefault="00000000">
      <w:pPr>
        <w:numPr>
          <w:ilvl w:val="0"/>
          <w:numId w:val="1"/>
        </w:numPr>
        <w:spacing w:after="0" w:line="240" w:lineRule="auto"/>
        <w:ind w:leftChars="300" w:left="1100" w:hangingChars="200" w:hanging="440"/>
        <w:rPr>
          <w:rFonts w:ascii="Arial Regular" w:eastAsia="SimHei" w:hAnsi="Arial Regular" w:cs="Arial Regular"/>
        </w:rPr>
      </w:pPr>
      <w:r>
        <w:rPr>
          <w:rFonts w:ascii="Arial Regular" w:eastAsia="SimHei" w:hAnsi="Arial Regular" w:cs="Arial Regular"/>
        </w:rPr>
        <w:t>Questions on theory / context: "How does your work extend existing discourse?"</w:t>
      </w:r>
    </w:p>
    <w:p w14:paraId="6281216D" w14:textId="77777777" w:rsidR="00E713AC" w:rsidRDefault="00000000">
      <w:pPr>
        <w:numPr>
          <w:ilvl w:val="0"/>
          <w:numId w:val="1"/>
        </w:numPr>
        <w:spacing w:after="0" w:line="240" w:lineRule="auto"/>
        <w:ind w:leftChars="300" w:left="1100" w:hangingChars="200" w:hanging="440"/>
        <w:rPr>
          <w:rFonts w:ascii="Arial Regular" w:eastAsia="SimHei" w:hAnsi="Arial Regular" w:cs="Arial Regular"/>
        </w:rPr>
      </w:pPr>
      <w:r>
        <w:rPr>
          <w:rFonts w:ascii="Arial Regular" w:eastAsia="SimHei" w:hAnsi="Arial Regular" w:cs="Arial Regular"/>
        </w:rPr>
        <w:t>Questions on methodology: "How did iteration lead to this insight?"</w:t>
      </w:r>
    </w:p>
    <w:p w14:paraId="0EEC3C66" w14:textId="77777777" w:rsidR="00E713AC" w:rsidRDefault="00000000">
      <w:pPr>
        <w:spacing w:beforeLines="50" w:before="120" w:after="0" w:line="240" w:lineRule="auto"/>
        <w:rPr>
          <w:rFonts w:ascii="Arial Regular" w:eastAsia="SimHei" w:hAnsi="Arial Regular" w:cs="Arial Regular"/>
        </w:rPr>
      </w:pPr>
      <w:r>
        <w:rPr>
          <w:rFonts w:ascii="Arial Regular" w:eastAsia="SimHei" w:hAnsi="Arial Regular" w:cs="Arial Regular"/>
          <w:lang w:eastAsia="zh-CN" w:bidi="ar"/>
        </w:rPr>
        <w:t>• </w:t>
      </w:r>
      <w:r>
        <w:rPr>
          <w:rStyle w:val="Strong"/>
          <w:rFonts w:ascii="Arial Bold" w:eastAsia="SimHei" w:hAnsi="Arial Bold" w:cs="Arial Bold"/>
          <w:bCs w:val="0"/>
          <w:lang w:eastAsia="zh-CN" w:bidi="ar"/>
        </w:rPr>
        <w:t>Wider discussion</w:t>
      </w:r>
      <w:r>
        <w:rPr>
          <w:rStyle w:val="Strong"/>
          <w:rFonts w:ascii="Arial Regular" w:eastAsia="SimHei" w:hAnsi="Arial Regular" w:cs="Arial Regular"/>
          <w:b w:val="0"/>
          <w:lang w:eastAsia="zh-CN" w:bidi="ar"/>
        </w:rPr>
        <w:t>:</w:t>
      </w:r>
      <w:r>
        <w:rPr>
          <w:rFonts w:ascii="Arial Regular" w:eastAsia="SimHei" w:hAnsi="Arial Regular" w:cs="Arial Regular"/>
          <w:lang w:eastAsia="zh-CN" w:bidi="ar"/>
        </w:rPr>
        <w:t> covering limitations, future directions, and broader implications of your research</w:t>
      </w:r>
    </w:p>
    <w:p w14:paraId="17D5DAD1" w14:textId="77777777" w:rsidR="00E713AC" w:rsidRDefault="00000000">
      <w:r>
        <w:br/>
        <w:t>The tone is generally collegial, but examiners will ask probing and critical questions to test the depth, originality, and rigor of your research. Their goal is to evaluate how well you can articulate and defend your artistic decisions, methodological choices, conceptual framework, and overall contribution. Outcomes include pass, minor / major revisions, or (rarely) resubmission.</w:t>
      </w:r>
    </w:p>
    <w:p w14:paraId="02383B87" w14:textId="77777777" w:rsidR="00E713AC" w:rsidRDefault="00E713AC"/>
    <w:p w14:paraId="425054FA" w14:textId="77777777" w:rsidR="00E713AC" w:rsidRDefault="00000000">
      <w:pPr>
        <w:spacing w:after="0"/>
      </w:pPr>
      <w:r>
        <w:rPr>
          <w:b/>
          <w:bCs/>
        </w:rPr>
        <w:t>Presenting Your Research:</w:t>
      </w:r>
    </w:p>
    <w:p w14:paraId="1ED8D7BC" w14:textId="77777777" w:rsidR="00E713AC" w:rsidRDefault="00000000">
      <w:pPr>
        <w:spacing w:afterLines="50" w:after="120" w:line="240" w:lineRule="auto"/>
        <w:rPr>
          <w:rFonts w:ascii="Arial Regular" w:eastAsia="SimHei" w:hAnsi="Arial Regular" w:cs="Arial Regular"/>
          <w:lang w:eastAsia="zh-CN" w:bidi="ar"/>
        </w:rPr>
      </w:pPr>
      <w:r>
        <w:rPr>
          <w:rFonts w:ascii="Arial Regular" w:eastAsia="SimHei" w:hAnsi="Arial Regular" w:cs="Arial Regular"/>
          <w:lang w:eastAsia="zh-CN" w:bidi="ar"/>
        </w:rPr>
        <w:t>Prepare a clear, concise presentation (PowerPoint / Keynote) with high-quality visuals.</w:t>
      </w:r>
    </w:p>
    <w:p w14:paraId="7FD91AC3" w14:textId="77777777" w:rsidR="00E713AC" w:rsidRDefault="00000000">
      <w:pPr>
        <w:spacing w:beforeLines="50" w:before="120" w:after="0" w:line="240" w:lineRule="auto"/>
        <w:rPr>
          <w:rFonts w:ascii="Arial Bold" w:eastAsia="SimHei" w:hAnsi="Arial Bold" w:cs="Arial Bold"/>
          <w:b/>
          <w:bCs/>
          <w:lang w:eastAsia="zh-CN" w:bidi="ar"/>
        </w:rPr>
      </w:pPr>
      <w:r>
        <w:rPr>
          <w:rFonts w:ascii="Arial Bold" w:eastAsia="SimHei" w:hAnsi="Arial Bold" w:cs="Arial Bold"/>
          <w:b/>
          <w:bCs/>
          <w:lang w:eastAsia="zh-CN" w:bidi="ar"/>
        </w:rPr>
        <w:t>• Slide Structure</w:t>
      </w:r>
    </w:p>
    <w:p w14:paraId="46E4B861" w14:textId="77777777" w:rsidR="00E713AC" w:rsidRDefault="00000000">
      <w:pPr>
        <w:numPr>
          <w:ilvl w:val="0"/>
          <w:numId w:val="1"/>
        </w:numPr>
        <w:spacing w:after="0" w:line="240" w:lineRule="auto"/>
        <w:ind w:leftChars="300" w:left="1100" w:hangingChars="200" w:hanging="440"/>
        <w:rPr>
          <w:rFonts w:ascii="Arial Regular" w:eastAsia="SimHei" w:hAnsi="Arial Regular" w:cs="Arial Regular"/>
          <w:lang w:eastAsia="zh-CN"/>
        </w:rPr>
      </w:pPr>
      <w:r>
        <w:rPr>
          <w:rFonts w:ascii="Arial Regular" w:eastAsia="SimHei" w:hAnsi="Arial Regular" w:cs="Arial Regular"/>
          <w:lang w:eastAsia="zh-CN"/>
        </w:rPr>
        <w:t>Title / question → context / gap → methodology / practice overview → key artworks (process + final images) → critical reflections / contributions → conclusion / future directions</w:t>
      </w:r>
    </w:p>
    <w:p w14:paraId="4F823FB9" w14:textId="77777777" w:rsidR="00E713AC" w:rsidRDefault="00000000">
      <w:pPr>
        <w:numPr>
          <w:ilvl w:val="0"/>
          <w:numId w:val="1"/>
        </w:numPr>
        <w:spacing w:after="0" w:line="240" w:lineRule="auto"/>
        <w:ind w:leftChars="300" w:left="1100" w:hangingChars="200" w:hanging="440"/>
        <w:rPr>
          <w:rFonts w:ascii="Arial Regular" w:eastAsia="SimHei" w:hAnsi="Arial Regular" w:cs="Arial Regular"/>
          <w:lang w:eastAsia="zh-CN"/>
        </w:rPr>
      </w:pPr>
      <w:r>
        <w:rPr>
          <w:rFonts w:ascii="Arial Regular" w:eastAsia="SimHei" w:hAnsi="Arial Regular" w:cs="Arial Regular"/>
          <w:lang w:eastAsia="zh-CN"/>
        </w:rPr>
        <w:t>Limit text; let images speak. Use captions, timelines, and diagrams</w:t>
      </w:r>
    </w:p>
    <w:p w14:paraId="52D377EB" w14:textId="77777777" w:rsidR="00E713AC" w:rsidRDefault="00000000">
      <w:pPr>
        <w:spacing w:beforeLines="50" w:before="120" w:after="0" w:line="240" w:lineRule="auto"/>
        <w:rPr>
          <w:rFonts w:ascii="Arial Bold" w:eastAsia="SimHei" w:hAnsi="Arial Bold" w:cs="Arial Bold"/>
          <w:b/>
          <w:bCs/>
          <w:lang w:eastAsia="zh-CN" w:bidi="ar"/>
        </w:rPr>
      </w:pPr>
      <w:r>
        <w:rPr>
          <w:rFonts w:ascii="Arial Bold" w:eastAsia="SimHei" w:hAnsi="Arial Bold" w:cs="Arial Bold"/>
          <w:b/>
          <w:bCs/>
          <w:lang w:eastAsia="zh-CN" w:bidi="ar"/>
        </w:rPr>
        <w:t>• Presentation Practice</w:t>
      </w:r>
    </w:p>
    <w:p w14:paraId="15AC58CD" w14:textId="77777777" w:rsidR="00E713AC" w:rsidRDefault="00000000">
      <w:pPr>
        <w:numPr>
          <w:ilvl w:val="0"/>
          <w:numId w:val="1"/>
        </w:numPr>
        <w:spacing w:after="0" w:line="240" w:lineRule="auto"/>
        <w:ind w:leftChars="300" w:left="1100" w:hangingChars="200" w:hanging="440"/>
        <w:rPr>
          <w:rFonts w:ascii="Arial Regular" w:eastAsia="SimHei" w:hAnsi="Arial Regular" w:cs="Arial Regular"/>
          <w:lang w:eastAsia="zh-CN"/>
        </w:rPr>
      </w:pPr>
      <w:r>
        <w:rPr>
          <w:rFonts w:ascii="Arial Regular" w:eastAsia="SimHei" w:hAnsi="Arial Regular" w:cs="Arial Regular"/>
          <w:lang w:eastAsia="zh-CN"/>
        </w:rPr>
        <w:t>Practice aloud and time yourself; record your delivery to refine pacing</w:t>
      </w:r>
    </w:p>
    <w:p w14:paraId="0FD76F91" w14:textId="77777777" w:rsidR="00E713AC" w:rsidRDefault="00000000">
      <w:pPr>
        <w:numPr>
          <w:ilvl w:val="0"/>
          <w:numId w:val="1"/>
        </w:numPr>
        <w:spacing w:after="0" w:line="240" w:lineRule="auto"/>
        <w:ind w:leftChars="300" w:left="1100" w:hangingChars="200" w:hanging="440"/>
        <w:rPr>
          <w:rFonts w:ascii="Arial Regular" w:eastAsia="SimHei" w:hAnsi="Arial Regular" w:cs="Arial Regular"/>
          <w:lang w:eastAsia="zh-CN"/>
        </w:rPr>
      </w:pPr>
      <w:r>
        <w:rPr>
          <w:rFonts w:ascii="Arial Regular" w:eastAsia="SimHei" w:hAnsi="Arial Regular" w:cs="Arial Regular"/>
          <w:lang w:eastAsia="zh-CN"/>
        </w:rPr>
        <w:t>Anticipate tough but fair questions, and rehearse answers on potential issues such as ethics, limitations, and theoretical connections</w:t>
      </w:r>
    </w:p>
    <w:p w14:paraId="56DFBEE7" w14:textId="77777777" w:rsidR="00E713AC" w:rsidRDefault="00000000">
      <w:pPr>
        <w:spacing w:beforeLines="50" w:before="120" w:after="0" w:line="240" w:lineRule="auto"/>
        <w:rPr>
          <w:rFonts w:ascii="Arial Bold" w:eastAsia="SimHei" w:hAnsi="Arial Bold" w:cs="Arial Bold"/>
          <w:b/>
          <w:bCs/>
          <w:lang w:eastAsia="zh-CN" w:bidi="ar"/>
        </w:rPr>
      </w:pPr>
      <w:r>
        <w:rPr>
          <w:rFonts w:ascii="Arial Bold" w:eastAsia="SimHei" w:hAnsi="Arial Bold" w:cs="Arial Bold"/>
          <w:b/>
          <w:bCs/>
          <w:lang w:eastAsia="zh-CN" w:bidi="ar"/>
        </w:rPr>
        <w:t>• Defending Your Research</w:t>
      </w:r>
    </w:p>
    <w:p w14:paraId="60AB8AB8" w14:textId="77777777" w:rsidR="00E713AC" w:rsidRDefault="00000000">
      <w:pPr>
        <w:numPr>
          <w:ilvl w:val="0"/>
          <w:numId w:val="1"/>
        </w:numPr>
        <w:spacing w:after="0" w:line="240" w:lineRule="auto"/>
        <w:ind w:leftChars="300" w:left="1100" w:hangingChars="200" w:hanging="440"/>
        <w:rPr>
          <w:rFonts w:ascii="Arial Regular" w:eastAsia="SimHei" w:hAnsi="Arial Regular" w:cs="Arial Regular"/>
          <w:lang w:eastAsia="zh-CN"/>
        </w:rPr>
      </w:pPr>
      <w:r>
        <w:rPr>
          <w:rFonts w:ascii="Arial Regular" w:eastAsia="SimHei" w:hAnsi="Arial Regular" w:cs="Arial Regular"/>
          <w:lang w:eastAsia="zh-CN"/>
        </w:rPr>
        <w:t xml:space="preserve">Stay grounded in your evidence when </w:t>
      </w:r>
      <w:proofErr w:type="gramStart"/>
      <w:r>
        <w:rPr>
          <w:rFonts w:ascii="Arial Regular" w:eastAsia="SimHei" w:hAnsi="Arial Regular" w:cs="Arial Regular"/>
          <w:lang w:eastAsia="zh-CN"/>
        </w:rPr>
        <w:t>defending:</w:t>
      </w:r>
      <w:proofErr w:type="gramEnd"/>
      <w:r>
        <w:rPr>
          <w:rFonts w:ascii="Arial Regular" w:eastAsia="SimHei" w:hAnsi="Arial Regular" w:cs="Arial Regular"/>
          <w:lang w:eastAsia="zh-CN"/>
        </w:rPr>
        <w:t xml:space="preserve"> refer to documentation, journal entries, exhibition choices, and thesis passages</w:t>
      </w:r>
    </w:p>
    <w:p w14:paraId="2FF596C7" w14:textId="77777777" w:rsidR="00E713AC" w:rsidRDefault="00000000">
      <w:pPr>
        <w:numPr>
          <w:ilvl w:val="0"/>
          <w:numId w:val="1"/>
        </w:numPr>
        <w:spacing w:after="0" w:line="240" w:lineRule="auto"/>
        <w:ind w:leftChars="300" w:left="1100" w:hangingChars="200" w:hanging="440"/>
        <w:rPr>
          <w:rFonts w:ascii="Arial Regular" w:eastAsia="SimHei" w:hAnsi="Arial Regular" w:cs="Arial Regular"/>
          <w:lang w:eastAsia="zh-CN"/>
        </w:rPr>
      </w:pPr>
      <w:r>
        <w:rPr>
          <w:rFonts w:ascii="Arial Regular" w:eastAsia="SimHei" w:hAnsi="Arial Regular" w:cs="Arial Regular"/>
          <w:lang w:eastAsia="zh-CN"/>
        </w:rPr>
        <w:t>If challenged, acknowledge valid points while explaining your rationale</w:t>
      </w:r>
    </w:p>
    <w:p w14:paraId="7BA61347" w14:textId="77777777" w:rsidR="00E713AC" w:rsidRDefault="00E713AC">
      <w:pPr>
        <w:tabs>
          <w:tab w:val="left" w:pos="720"/>
        </w:tabs>
        <w:spacing w:after="0" w:line="240" w:lineRule="auto"/>
        <w:rPr>
          <w:rFonts w:ascii="Arial Regular" w:eastAsia="SimHei" w:hAnsi="Arial Regular" w:cs="Arial Regular"/>
          <w:lang w:eastAsia="zh-CN"/>
        </w:rPr>
      </w:pPr>
    </w:p>
    <w:p w14:paraId="2D3E7378" w14:textId="77777777" w:rsidR="00E713AC" w:rsidRDefault="00E713AC">
      <w:pPr>
        <w:tabs>
          <w:tab w:val="left" w:pos="720"/>
        </w:tabs>
        <w:spacing w:after="0" w:line="240" w:lineRule="auto"/>
        <w:rPr>
          <w:rFonts w:ascii="Arial Regular" w:eastAsia="SimHei" w:hAnsi="Arial Regular" w:cs="Arial Regular"/>
          <w:color w:val="156082" w:themeColor="accent1"/>
          <w:lang w:eastAsia="zh-CN"/>
        </w:rPr>
      </w:pPr>
    </w:p>
    <w:p w14:paraId="4FE092FE" w14:textId="77777777" w:rsidR="00E713AC" w:rsidRDefault="00000000">
      <w:pPr>
        <w:spacing w:afterLines="50" w:after="120" w:line="240" w:lineRule="auto"/>
      </w:pPr>
      <w:r>
        <w:br/>
      </w:r>
      <w:r>
        <w:rPr>
          <w:b/>
          <w:bCs/>
        </w:rPr>
        <w:t>The External Examiner:</w:t>
      </w:r>
      <w:r>
        <w:br/>
        <w:t xml:space="preserve">The external examiner is an independent expert (often outside your </w:t>
      </w:r>
      <w:proofErr w:type="spellStart"/>
      <w:r>
        <w:t>unievrsity</w:t>
      </w:r>
      <w:proofErr w:type="spellEnd"/>
      <w:r>
        <w:t>, with standing in contemporary fine art or your specific area). They provide objective assessment of originality, ensure doctoral-level standards, and ask probing questions to test depth. Their report carries significant weight. A strong external examiner can become a valuable future reference or collaborator.</w:t>
      </w:r>
      <w:r>
        <w:br/>
      </w:r>
      <w:r>
        <w:br/>
      </w:r>
      <w:r>
        <w:rPr>
          <w:b/>
          <w:bCs/>
        </w:rPr>
        <w:t>Mock Viva Preparation:</w:t>
      </w:r>
      <w:r>
        <w:br/>
        <w:t>Mock defenses are essential, and most candidates find them transformative:</w:t>
      </w:r>
      <w:r>
        <w:br/>
        <w:t>• Schedule 1–2 mocks (6–8 weeks before real defense) with your supervisor, peers, or invited faculty</w:t>
      </w:r>
      <w:r>
        <w:br/>
      </w:r>
      <w:r>
        <w:lastRenderedPageBreak/>
        <w:t>• Replicate the format: give presentation, face 45–60 minutes of questions (ask mock examiners to be constructively critical)</w:t>
      </w:r>
      <w:r>
        <w:br/>
        <w:t>• Record session (with permission) to review responses, body language, clarity</w:t>
      </w:r>
      <w:r>
        <w:br/>
        <w:t>• Prepare a 'cheat sheet' of key points (thesis page numbers, artwork references, sources) to bring in</w:t>
      </w:r>
      <w:r>
        <w:br/>
        <w:t>• Practice under mild pressure: time answers, handle interruptions, stay calm if stumped</w:t>
      </w:r>
      <w:r>
        <w:br/>
      </w:r>
      <w:r>
        <w:br/>
        <w:t>After each mock, revise weak spots (clarify methodological points, strengthen theoretical links). By the real defense, you'll feel confident discussing your work as an expert, because you are.</w:t>
      </w:r>
      <w:r>
        <w:br/>
        <w:t>The defense is the culmination of your DFA journey: a celebration of achievement as much as an examination. Prepare thoroughly, trust your practice, and remember you are the person who knows this project most intimately.</w:t>
      </w:r>
    </w:p>
    <w:p w14:paraId="7573F04A" w14:textId="77777777" w:rsidR="00E713AC" w:rsidRDefault="00000000">
      <w:pPr>
        <w:pStyle w:val="Heading1"/>
        <w:spacing w:before="0"/>
      </w:pPr>
      <w:r>
        <w:t>Part 5: Thriving as a Doctoral Student</w:t>
      </w:r>
    </w:p>
    <w:p w14:paraId="7BD634CD" w14:textId="77777777" w:rsidR="00E713AC" w:rsidRDefault="00E713AC">
      <w:pPr>
        <w:jc w:val="center"/>
        <w:rPr>
          <w:sz w:val="24"/>
          <w:szCs w:val="24"/>
        </w:rPr>
      </w:pPr>
    </w:p>
    <w:p w14:paraId="63B4884B" w14:textId="77777777" w:rsidR="00E713AC" w:rsidRDefault="00000000">
      <w:pPr>
        <w:jc w:val="center"/>
        <w:rPr>
          <w:sz w:val="24"/>
          <w:szCs w:val="24"/>
        </w:rPr>
      </w:pPr>
      <w:r>
        <w:rPr>
          <w:sz w:val="24"/>
          <w:szCs w:val="24"/>
        </w:rPr>
        <w:t>“</w:t>
      </w:r>
      <w:proofErr w:type="spellStart"/>
      <w:r>
        <w:rPr>
          <w:i/>
          <w:iCs/>
          <w:sz w:val="24"/>
          <w:szCs w:val="24"/>
        </w:rPr>
        <w:t>Mens</w:t>
      </w:r>
      <w:proofErr w:type="spellEnd"/>
      <w:r>
        <w:rPr>
          <w:i/>
          <w:iCs/>
          <w:sz w:val="24"/>
          <w:szCs w:val="24"/>
        </w:rPr>
        <w:t xml:space="preserve"> sana in corpore </w:t>
      </w:r>
      <w:proofErr w:type="spellStart"/>
      <w:r>
        <w:rPr>
          <w:i/>
          <w:iCs/>
          <w:sz w:val="24"/>
          <w:szCs w:val="24"/>
        </w:rPr>
        <w:t>sano</w:t>
      </w:r>
      <w:proofErr w:type="spellEnd"/>
      <w:r>
        <w:rPr>
          <w:sz w:val="24"/>
          <w:szCs w:val="24"/>
        </w:rPr>
        <w:t xml:space="preserve"> - a healthy mind in a healthy body.”</w:t>
      </w:r>
    </w:p>
    <w:p w14:paraId="1FDD8DC6" w14:textId="77777777" w:rsidR="00E713AC" w:rsidRDefault="00000000">
      <w:pPr>
        <w:jc w:val="center"/>
        <w:rPr>
          <w:sz w:val="20"/>
          <w:szCs w:val="20"/>
        </w:rPr>
      </w:pPr>
      <w:r>
        <w:rPr>
          <w:sz w:val="20"/>
          <w:szCs w:val="20"/>
        </w:rPr>
        <w:t>Juvenal (Roman poet, 1st–2nd century CE)</w:t>
      </w:r>
    </w:p>
    <w:p w14:paraId="1194A752" w14:textId="77777777" w:rsidR="00E713AC" w:rsidRDefault="00E713AC">
      <w:pPr>
        <w:jc w:val="center"/>
        <w:rPr>
          <w:sz w:val="24"/>
          <w:szCs w:val="24"/>
        </w:rPr>
      </w:pPr>
    </w:p>
    <w:p w14:paraId="0EE3A5B8" w14:textId="77777777" w:rsidR="00E713AC" w:rsidRDefault="00000000">
      <w:r>
        <w:t>The ancient Romans understood what modern research confirms: intellectual and creative work thrives when body and mind are cared for together. As a DFA candidate, prioritizing well-being isn't luxury, it's essential for sustaining creativity, focus, and cognitive sharpness.</w:t>
      </w:r>
    </w:p>
    <w:p w14:paraId="4E594EC6" w14:textId="77777777" w:rsidR="00E713AC" w:rsidRDefault="00000000">
      <w:pPr>
        <w:pStyle w:val="Heading2"/>
      </w:pPr>
      <w:r>
        <w:t>Your Well-being: A Holistic Approach</w:t>
      </w:r>
    </w:p>
    <w:p w14:paraId="532FCDFB" w14:textId="77777777" w:rsidR="00E713AC" w:rsidRDefault="00000000">
      <w:r>
        <w:rPr>
          <w:b/>
          <w:bCs/>
        </w:rPr>
        <w:t>Mental Health:</w:t>
      </w:r>
      <w:r>
        <w:br/>
        <w:t>Doctoral study often brings predictable challenges, especially in high-stakes, self-directed final years.</w:t>
      </w:r>
      <w:r>
        <w:br/>
      </w:r>
      <w:r>
        <w:br/>
      </w:r>
      <w:r>
        <w:rPr>
          <w:b/>
          <w:bCs/>
        </w:rPr>
        <w:t>Common experiences:</w:t>
      </w:r>
      <w:r>
        <w:br/>
        <w:t xml:space="preserve">• Imposter syndrome: Feeling like a ‘fraud’ despite evidence of competence. Psychologists increasingly view this as a </w:t>
      </w:r>
      <w:proofErr w:type="gramStart"/>
      <w:r>
        <w:t>sign</w:t>
      </w:r>
      <w:proofErr w:type="gramEnd"/>
      <w:r>
        <w:t xml:space="preserve"> you're pushing yourself into genuine growth, not inadequacy, but ambition. Normalize it by sharing with peers / supervisors, tracking small wins, reminding yourself every artist-researcher feels this</w:t>
      </w:r>
      <w:r>
        <w:br/>
        <w:t>• Anxiety: From deadline pressure, uncertainty, or perfectionism</w:t>
      </w:r>
      <w:r>
        <w:br/>
        <w:t>• Isolation: Independent work can feel lonely, especially if studio practice is solitary</w:t>
      </w:r>
      <w:r>
        <w:br/>
      </w:r>
      <w:r>
        <w:br/>
      </w:r>
      <w:r>
        <w:rPr>
          <w:b/>
          <w:bCs/>
        </w:rPr>
        <w:t>Support and Wellbeing Resources:</w:t>
      </w:r>
    </w:p>
    <w:p w14:paraId="6BFDFE08" w14:textId="77777777" w:rsidR="00E713AC" w:rsidRDefault="00000000">
      <w:r>
        <w:t>Doctoral research can be demanding, so it is important to look after your mental and emotional wellbeing throughout the process.</w:t>
      </w:r>
    </w:p>
    <w:p w14:paraId="0A076FAC" w14:textId="77777777" w:rsidR="00E713AC" w:rsidRDefault="00000000">
      <w:pPr>
        <w:spacing w:after="0"/>
      </w:pPr>
      <w:r>
        <w:t>Most universities offer a range of support services for graduate students. These commonly include:</w:t>
      </w:r>
    </w:p>
    <w:p w14:paraId="5A53C936" w14:textId="77777777" w:rsidR="00E713AC" w:rsidRDefault="00000000">
      <w:pPr>
        <w:spacing w:after="0"/>
      </w:pPr>
      <w:r>
        <w:lastRenderedPageBreak/>
        <w:t>• Counseling and Wellness Services: Free individual or group counseling, workshops on stress management, mindfulness, resilience, and work-life balance.</w:t>
      </w:r>
    </w:p>
    <w:p w14:paraId="5B5B1181" w14:textId="77777777" w:rsidR="00E713AC" w:rsidRDefault="00000000">
      <w:pPr>
        <w:spacing w:after="0"/>
      </w:pPr>
      <w:r>
        <w:t>• Peer Support Groups: Doctoral student meetups, writing groups, or faculty-organized support networks.</w:t>
      </w:r>
    </w:p>
    <w:p w14:paraId="4FBB697D" w14:textId="77777777" w:rsidR="00E713AC" w:rsidRDefault="00000000">
      <w:pPr>
        <w:spacing w:after="0"/>
      </w:pPr>
      <w:r>
        <w:t>• Helplines: 24/7 mental health hotlines (often available through university partnerships with external services).</w:t>
      </w:r>
    </w:p>
    <w:p w14:paraId="63CAC244" w14:textId="77777777" w:rsidR="00E713AC" w:rsidRDefault="00000000">
      <w:pPr>
        <w:spacing w:after="0"/>
      </w:pPr>
      <w:r>
        <w:t>• Online Resources: Self-help modules on topics such as anxiety, sleep, motivation, and managing academic pressure.</w:t>
      </w:r>
    </w:p>
    <w:p w14:paraId="748B8D15" w14:textId="77777777" w:rsidR="00E713AC" w:rsidRDefault="00E713AC">
      <w:pPr>
        <w:spacing w:after="0"/>
      </w:pPr>
    </w:p>
    <w:p w14:paraId="28B04B6D" w14:textId="77777777" w:rsidR="00E713AC" w:rsidRDefault="00000000">
      <w:r>
        <w:t>Key Advice: Reach out for support early if you need it. Seeking help is a sign of strength and good self-awareness, not weakness. Taking care of your wellbeing will ultimately support both your artistic practice and your academic progress.</w:t>
      </w:r>
      <w:r>
        <w:br/>
      </w:r>
      <w:r>
        <w:br/>
      </w:r>
      <w:r>
        <w:rPr>
          <w:b/>
          <w:bCs/>
        </w:rPr>
        <w:t>Physical Health:</w:t>
      </w:r>
      <w:r>
        <w:br/>
        <w:t>Physical well-being directly fuels creativity and cognitive performance. Research shows structured exercise improves focus, mood, and intelligence measures.</w:t>
      </w:r>
      <w:r>
        <w:br/>
      </w:r>
      <w:r>
        <w:br/>
        <w:t xml:space="preserve">• Balanced diet and exercise: Nutrient-rich diet (whole foods, adequate protein, healthy fats, hydration) stabilizes energy and supports brain function. </w:t>
      </w:r>
    </w:p>
    <w:p w14:paraId="0E4A648D" w14:textId="77777777" w:rsidR="00E713AC" w:rsidRDefault="00000000">
      <w:pPr>
        <w:spacing w:after="0"/>
      </w:pPr>
      <w:r>
        <w:t xml:space="preserve">• Regular movement is equally critical: moderate aerobic exercise and strength training enhance neuroplasticity, reduce inflammation, boost executive function. </w:t>
      </w:r>
    </w:p>
    <w:p w14:paraId="5700216E" w14:textId="77777777" w:rsidR="00E713AC" w:rsidRDefault="00000000">
      <w:pPr>
        <w:spacing w:after="0"/>
      </w:pPr>
      <w:r>
        <w:t xml:space="preserve">• Studies show average 4-point IQ gains from structured exercise; intensive programs (12 weeks combining strength training and HIIT) have produced up to 19.5% improvements in fluid intelligence, exactly the flexible, divergent thinking needed for artistic research. </w:t>
      </w:r>
    </w:p>
    <w:p w14:paraId="3B0F593F" w14:textId="77777777" w:rsidR="00E713AC" w:rsidRDefault="00000000">
      <w:pPr>
        <w:spacing w:after="0"/>
      </w:pPr>
      <w:r>
        <w:t>• Even 20–30 minutes of walking, yoga, or weightlifting most days sharpens problem-solving.</w:t>
      </w:r>
      <w:r>
        <w:br/>
      </w:r>
      <w:r>
        <w:br/>
        <w:t>Studio ergonomics and safety: Long hours at benches / computers / easels can cause strain. Invest in adjustable stands, proper lighting, anti-fatigue mats, ergonomic chairs. Take micro-breaks (20-20-20 rule for eyes: every 20 minutes, look 20 feet away for 20 seconds). Use protective gear when handling materials, stretch regularly to prevent repetitive strain.</w:t>
      </w:r>
      <w:r>
        <w:br/>
      </w:r>
      <w:r>
        <w:br/>
      </w:r>
      <w:r>
        <w:rPr>
          <w:b/>
          <w:bCs/>
        </w:rPr>
        <w:t>The Power of Sleep:</w:t>
      </w:r>
      <w:r>
        <w:br/>
        <w:t>Sleep is non-negotiable for memory consolidation, emotional regulation, and creative insight - many breakthroughs happen after rest. Aim for 7–9 hours nightly.</w:t>
      </w:r>
      <w:r>
        <w:br/>
      </w:r>
      <w:r>
        <w:br/>
        <w:t>Strategies for healthy sleep:</w:t>
      </w:r>
      <w:r>
        <w:br/>
        <w:t>• Consistent routine: same bedtime / wake time, even on weekends</w:t>
      </w:r>
      <w:r>
        <w:br/>
        <w:t>• Wind-down ritual: dim lights, avoid heavy meals, read physical books or sketch lightly (no intense screen work)</w:t>
      </w:r>
      <w:r>
        <w:br/>
        <w:t>• Sleep hygiene: limit caffeine after mid-afternoon, exercise earlier in day, keep bedroom cool / dark / quiet</w:t>
      </w:r>
      <w:r>
        <w:br/>
        <w:t xml:space="preserve">• Manage screen time and social media: blue light suppresses melatonin; excessive scrolling heightens anxiety. Set hard cutoff (1 hour before bed), use night mode/do-not-disturb, curate </w:t>
      </w:r>
      <w:r>
        <w:lastRenderedPageBreak/>
        <w:t>feeds to inspire rather than drain</w:t>
      </w:r>
      <w:r>
        <w:br/>
      </w:r>
      <w:r>
        <w:br/>
        <w:t>These practices are investments in your project. When mind and body are nourished, your practice flows more freely, reflections deepen, and the final stretch becomes sustainable. Prioritize self-care as rigorously as you prioritize making.</w:t>
      </w:r>
    </w:p>
    <w:p w14:paraId="56DF8905" w14:textId="77777777" w:rsidR="00E713AC" w:rsidRDefault="00000000">
      <w:pPr>
        <w:pStyle w:val="Heading2"/>
      </w:pPr>
      <w:r>
        <w:t>Beyond the Doctorate: Your Future as an Artist-Researcher</w:t>
      </w:r>
    </w:p>
    <w:p w14:paraId="58987B6D" w14:textId="77777777" w:rsidR="00E713AC" w:rsidRDefault="00000000">
      <w:r>
        <w:t>The Doctor of Fine Arts is not an endpoint but rigorous apprenticeship in becoming a self-sustaining artist-researcher. The skills you hone are tools for a lifelong career.</w:t>
      </w:r>
      <w:r>
        <w:br/>
      </w:r>
      <w:r>
        <w:br/>
      </w:r>
      <w:r>
        <w:rPr>
          <w:b/>
          <w:bCs/>
        </w:rPr>
        <w:t>Publishing Your Research:</w:t>
      </w:r>
      <w:r>
        <w:br/>
        <w:t>Publishing transforms doctoral work into public knowledge and builds your profile. Whether or not your DFA has a mandatory publication requirement, it is highly recommended to prepare submissions during or soon after the program as best practice. Finding the right journal is much like finding the right gallery for your artworks: fit matters. Journals have distinct ‘house styles,’ editorial priorities, and audiences.</w:t>
      </w:r>
    </w:p>
    <w:p w14:paraId="6CC3F30A" w14:textId="77777777" w:rsidR="00E713AC" w:rsidRDefault="00000000">
      <w:r>
        <w:t>Take time to explore recent issues in potential outlets to understand how your work can be adapted to resonate best. Discuss options with your supervisor, they can advise on fit, co-authorship possibilities, or special issues. Aim to submit at least one piece before or soon after defense.</w:t>
      </w:r>
      <w:r>
        <w:br/>
      </w:r>
      <w:r>
        <w:br/>
      </w:r>
      <w:r>
        <w:rPr>
          <w:b/>
          <w:bCs/>
        </w:rPr>
        <w:t xml:space="preserve">Potential outlets for artist-researchers: </w:t>
      </w:r>
      <w:r>
        <w:t>(especially in contemporary fine art, generative / digital media, materiality, interdisciplinary practice)</w:t>
      </w:r>
      <w:r>
        <w:br/>
        <w:t>• Leonardo (MIT Press): Art, science, and technology; ideal for AI / generative or hybrid practice</w:t>
      </w:r>
      <w:r>
        <w:br/>
        <w:t>• Journal of Artistic Research (JAR): Open-access, practice-based focus; submissions include exposition (text + visuals/documentation)</w:t>
      </w:r>
      <w:r>
        <w:br/>
        <w:t>• Art Journal (College Art Association): Critical reflections on contemporary art practice</w:t>
      </w:r>
      <w:r>
        <w:br/>
        <w:t>• Studies in Art Education or International Journal of Education Through Art: If work intersects pedagogy / community</w:t>
      </w:r>
      <w:r>
        <w:br/>
        <w:t>• Performance Research or Visual Studies: For performative, visual, or semiotic explorations</w:t>
      </w:r>
      <w:r>
        <w:br/>
        <w:t>• Regional / Asia-Pacific options: Taiwan: A Radical Journal of Geography (art sections), including relevant regional publications.</w:t>
      </w:r>
      <w:r>
        <w:br/>
      </w:r>
      <w:r>
        <w:br/>
        <w:t>Start small: adapt a strong thesis chapter or critical reflective essay. Discuss potential journals with your supervisor, as they can advise on fit, co-authorship, special issues. Aim to submit at least one piece before or soon after defense.</w:t>
      </w:r>
      <w:r>
        <w:br/>
      </w:r>
      <w:r>
        <w:br/>
      </w:r>
      <w:r>
        <w:rPr>
          <w:b/>
          <w:bCs/>
        </w:rPr>
        <w:t>Presenting at Conferences:</w:t>
      </w:r>
      <w:r>
        <w:br/>
        <w:t>Conferences offer invaluable networking, feedback, and visibility. Presenting your work (paper, artist talk, panel, performance) builds confidence and connections.</w:t>
      </w:r>
      <w:r>
        <w:br/>
      </w:r>
      <w:r>
        <w:br/>
        <w:t>Relevant conferences:</w:t>
      </w:r>
      <w:r>
        <w:br/>
        <w:t>• International Society for Electronic Arts (ISEA): Strong for AI / digital / generative art</w:t>
      </w:r>
      <w:r>
        <w:br/>
      </w:r>
      <w:r>
        <w:lastRenderedPageBreak/>
        <w:t>• College Art Association (CAA) Annual Conference: Broad contemporary art focus</w:t>
      </w:r>
      <w:r>
        <w:br/>
        <w:t>• Association for Art History (AAH) or European Society for Aesthetics: Theory / practice intersections</w:t>
      </w:r>
      <w:r>
        <w:br/>
      </w:r>
      <w:r>
        <w:br/>
        <w:t>Prepare concise abstracts (200–300 words) linking your practice to broader questions. Practice talks (15–20 minutes) with visuals/documentation. Discuss funding well in advance. Plan 6–12 months ahead to align with faculty budget cycles.</w:t>
      </w:r>
      <w:r>
        <w:br/>
      </w:r>
      <w:r>
        <w:br/>
      </w:r>
      <w:r>
        <w:rPr>
          <w:b/>
          <w:bCs/>
        </w:rPr>
        <w:t>Building a Career:</w:t>
      </w:r>
      <w:r>
        <w:br/>
        <w:t>Many DFA graduates pursue dual paths:</w:t>
      </w:r>
      <w:r>
        <w:br/>
        <w:t>• Academia: Teaching positions (lecturer / assistant professor) requiring publications, conference presentations, teaching portfolio. Start with adjunct lecturing, guest workshops, or TA roles</w:t>
      </w:r>
      <w:r>
        <w:br/>
        <w:t>• Art world: Gallery representation, residencies, biennials, public commissions, curatorial projects, artist-run spaces. Build professional portfolio / website, network through exhibitions / conferences, apply for grants and competitions.</w:t>
      </w:r>
      <w:r>
        <w:br/>
      </w:r>
      <w:r>
        <w:br/>
        <w:t>• Hybrid careers are common: many artist-researchers teach part-time while exhibiting, writing, or curating. Document everything: CV, artist statement, high-res images, publications list, exhibition history.</w:t>
      </w:r>
      <w:r>
        <w:br/>
      </w:r>
      <w:r>
        <w:br/>
      </w:r>
      <w:r>
        <w:rPr>
          <w:b/>
          <w:bCs/>
        </w:rPr>
        <w:t>The Lifelong Journey:</w:t>
      </w:r>
      <w:r>
        <w:br/>
        <w:t>The DFA is training for continuous self-education. Stay curious: experiment, read, exhibit, publish, collaborate, teach, and reflect. Your practice will evolve, and new questions, media, contexts will emerge. Embrace this lifelong process with the same rigor and joy you brought to your doctorate.</w:t>
      </w:r>
      <w:r>
        <w:br/>
      </w:r>
      <w:r>
        <w:br/>
        <w:t>You are now part of a global community of artist-researchers. Stay connected to peers, mentors, institutions (including alumni networks). Your contribution, through artworks, writings, teaching, or conversations, will continue to shape the field.</w:t>
      </w:r>
      <w:r>
        <w:br/>
      </w:r>
      <w:r>
        <w:br/>
        <w:t>Congratulations on reaching this point. The journey ahead is yours to define.</w:t>
      </w:r>
    </w:p>
    <w:p w14:paraId="344FBCCC" w14:textId="77777777" w:rsidR="00E713AC" w:rsidRDefault="00E713AC"/>
    <w:p w14:paraId="720AA2D1" w14:textId="77777777" w:rsidR="00E713AC" w:rsidRDefault="00E713AC"/>
    <w:p w14:paraId="1D151B6C" w14:textId="77777777" w:rsidR="00E713AC" w:rsidRDefault="00E713AC"/>
    <w:p w14:paraId="4DC9BC80" w14:textId="77777777" w:rsidR="00E713AC" w:rsidRDefault="00E713AC"/>
    <w:p w14:paraId="4F51522A" w14:textId="77777777" w:rsidR="00E713AC" w:rsidRDefault="00E713AC"/>
    <w:p w14:paraId="7DCA0306" w14:textId="77777777" w:rsidR="00E713AC" w:rsidRDefault="00E713AC"/>
    <w:p w14:paraId="49E3015A" w14:textId="77777777" w:rsidR="00E713AC" w:rsidRDefault="00E713AC"/>
    <w:p w14:paraId="24B7C36C" w14:textId="77777777" w:rsidR="00E713AC" w:rsidRDefault="00E713AC"/>
    <w:p w14:paraId="38D0C506" w14:textId="77777777" w:rsidR="00E713AC" w:rsidRDefault="00E713AC"/>
    <w:p w14:paraId="3C235943" w14:textId="77777777" w:rsidR="00E713AC" w:rsidRDefault="00E713AC"/>
    <w:p w14:paraId="33243043" w14:textId="77777777" w:rsidR="00E713AC" w:rsidRDefault="00E713AC"/>
    <w:p w14:paraId="0E5C5AC7" w14:textId="77777777" w:rsidR="00E713AC" w:rsidRDefault="00E713AC"/>
    <w:p w14:paraId="08132F01" w14:textId="77777777" w:rsidR="00E713AC" w:rsidRDefault="00E713AC"/>
    <w:p w14:paraId="62FF015E" w14:textId="77777777" w:rsidR="00E713AC" w:rsidRDefault="00E713AC"/>
    <w:p w14:paraId="6BE46257" w14:textId="77777777" w:rsidR="00E713AC" w:rsidRDefault="00000000">
      <w:pPr>
        <w:pStyle w:val="Heading1"/>
        <w:spacing w:before="0"/>
      </w:pPr>
      <w:r>
        <w:t>Appendices</w:t>
      </w:r>
    </w:p>
    <w:p w14:paraId="339D92BA" w14:textId="77777777" w:rsidR="00E713AC" w:rsidRDefault="00E713AC">
      <w:pPr>
        <w:rPr>
          <w:lang w:val="zh-CN" w:eastAsia="ja-JP"/>
        </w:rPr>
      </w:pPr>
    </w:p>
    <w:p w14:paraId="3F12AB6F" w14:textId="77777777" w:rsidR="00E713AC" w:rsidRDefault="00000000">
      <w:pPr>
        <w:rPr>
          <w:color w:val="0F4761" w:themeColor="accent1" w:themeShade="BF"/>
          <w:sz w:val="32"/>
          <w:szCs w:val="32"/>
          <w:lang w:val="zh-CN" w:eastAsia="ja-JP"/>
        </w:rPr>
      </w:pPr>
      <w:r>
        <w:rPr>
          <w:color w:val="0F4761" w:themeColor="accent1" w:themeShade="BF"/>
          <w:sz w:val="32"/>
          <w:szCs w:val="32"/>
          <w:lang w:val="zh-CN" w:eastAsia="ja-JP"/>
        </w:rPr>
        <w:t>Typical DFA Thesis Structure (Written Component)</w:t>
      </w:r>
    </w:p>
    <w:p w14:paraId="4A478E33" w14:textId="77777777" w:rsidR="00E713AC" w:rsidRDefault="00000000">
      <w:pPr>
        <w:spacing w:after="0"/>
        <w:rPr>
          <w:lang w:val="zh-CN" w:eastAsia="ja-JP"/>
        </w:rPr>
      </w:pPr>
      <w:r>
        <w:rPr>
          <w:lang w:val="zh-CN" w:eastAsia="ja-JP"/>
        </w:rPr>
        <w:t>Adapt this outline with your supervisor; structures vary by project (integrated vs. parallel models from earlier guide sections).</w:t>
      </w:r>
    </w:p>
    <w:p w14:paraId="3627224E" w14:textId="77777777" w:rsidR="00E713AC" w:rsidRDefault="00E713AC">
      <w:pPr>
        <w:spacing w:after="0"/>
        <w:rPr>
          <w:lang w:val="zh-CN" w:eastAsia="ja-JP"/>
        </w:rPr>
      </w:pPr>
    </w:p>
    <w:p w14:paraId="165BD3C5" w14:textId="77777777" w:rsidR="00E713AC" w:rsidRDefault="00000000">
      <w:pPr>
        <w:spacing w:after="0"/>
        <w:rPr>
          <w:lang w:val="zh-CN" w:eastAsia="ja-JP"/>
        </w:rPr>
      </w:pPr>
      <w:r>
        <w:t xml:space="preserve">• </w:t>
      </w:r>
      <w:r>
        <w:rPr>
          <w:b/>
          <w:bCs/>
          <w:lang w:val="zh-CN" w:eastAsia="ja-JP"/>
        </w:rPr>
        <w:t>Front Matter</w:t>
      </w:r>
      <w:r>
        <w:rPr>
          <w:lang w:val="zh-CN" w:eastAsia="ja-JP"/>
        </w:rPr>
        <w:t xml:space="preserve"> (Preliminary Pages)</w:t>
      </w:r>
    </w:p>
    <w:p w14:paraId="5BD7E057" w14:textId="77777777" w:rsidR="00E713AC" w:rsidRDefault="00000000">
      <w:pPr>
        <w:rPr>
          <w:lang w:val="zh-CN" w:eastAsia="ja-JP"/>
        </w:rPr>
      </w:pPr>
      <w:r>
        <w:t xml:space="preserve">• </w:t>
      </w:r>
      <w:r>
        <w:rPr>
          <w:b/>
          <w:bCs/>
          <w:lang w:val="zh-CN" w:eastAsia="ja-JP"/>
        </w:rPr>
        <w:t>Title Page</w:t>
      </w:r>
      <w:r>
        <w:rPr>
          <w:lang w:val="zh-CN" w:eastAsia="ja-JP"/>
        </w:rPr>
        <w:t xml:space="preserve"> (including the degree title, your name, supervisor(s), and submission date).</w:t>
      </w:r>
    </w:p>
    <w:p w14:paraId="03C65728" w14:textId="77777777" w:rsidR="00E713AC" w:rsidRDefault="00000000">
      <w:pPr>
        <w:rPr>
          <w:lang w:val="zh-CN" w:eastAsia="ja-JP"/>
        </w:rPr>
      </w:pPr>
      <w:r>
        <w:t xml:space="preserve">• </w:t>
      </w:r>
      <w:r>
        <w:rPr>
          <w:b/>
          <w:bCs/>
          <w:lang w:val="zh-CN" w:eastAsia="ja-JP"/>
        </w:rPr>
        <w:t>Declaration of Originality</w:t>
      </w:r>
      <w:r>
        <w:rPr>
          <w:lang w:val="zh-CN" w:eastAsia="ja-JP"/>
        </w:rPr>
        <w:t xml:space="preserve"> (follow your university’s required declaration of originality form).</w:t>
      </w:r>
    </w:p>
    <w:p w14:paraId="6B0A3C12" w14:textId="77777777" w:rsidR="00E713AC" w:rsidRDefault="00000000">
      <w:pPr>
        <w:rPr>
          <w:lang w:val="zh-CN" w:eastAsia="ja-JP"/>
        </w:rPr>
      </w:pPr>
      <w:r>
        <w:t xml:space="preserve">• </w:t>
      </w:r>
      <w:r>
        <w:rPr>
          <w:b/>
          <w:bCs/>
          <w:lang w:val="zh-CN" w:eastAsia="ja-JP"/>
        </w:rPr>
        <w:t xml:space="preserve">Abstract </w:t>
      </w:r>
      <w:r>
        <w:rPr>
          <w:lang w:val="zh-CN" w:eastAsia="ja-JP"/>
        </w:rPr>
        <w:t>(200–300 words: summarize research question, practice, key findings/contributions).</w:t>
      </w:r>
    </w:p>
    <w:p w14:paraId="02AF74A1" w14:textId="77777777" w:rsidR="00E713AC" w:rsidRDefault="00000000">
      <w:pPr>
        <w:rPr>
          <w:lang w:val="zh-CN" w:eastAsia="ja-JP"/>
        </w:rPr>
      </w:pPr>
      <w:r>
        <w:t xml:space="preserve">• </w:t>
      </w:r>
      <w:r>
        <w:rPr>
          <w:b/>
          <w:bCs/>
          <w:lang w:val="zh-CN" w:eastAsia="ja-JP"/>
        </w:rPr>
        <w:t xml:space="preserve">Acknowledgements </w:t>
      </w:r>
      <w:r>
        <w:rPr>
          <w:lang w:val="zh-CN" w:eastAsia="ja-JP"/>
        </w:rPr>
        <w:t>(optional: thank supervisor, peers, funding).</w:t>
      </w:r>
    </w:p>
    <w:p w14:paraId="201A0228" w14:textId="77777777" w:rsidR="00E713AC" w:rsidRDefault="00000000">
      <w:pPr>
        <w:rPr>
          <w:b/>
          <w:bCs/>
          <w:lang w:val="zh-CN" w:eastAsia="ja-JP"/>
        </w:rPr>
      </w:pPr>
      <w:r>
        <w:t xml:space="preserve">• </w:t>
      </w:r>
      <w:r>
        <w:rPr>
          <w:b/>
          <w:bCs/>
          <w:lang w:val="zh-CN" w:eastAsia="ja-JP"/>
        </w:rPr>
        <w:t>Table of Contents.</w:t>
      </w:r>
    </w:p>
    <w:p w14:paraId="20D17ED2" w14:textId="77777777" w:rsidR="00E713AC" w:rsidRDefault="00000000">
      <w:pPr>
        <w:rPr>
          <w:lang w:val="zh-CN" w:eastAsia="ja-JP"/>
        </w:rPr>
      </w:pPr>
      <w:r>
        <w:t xml:space="preserve">• </w:t>
      </w:r>
      <w:r>
        <w:rPr>
          <w:b/>
          <w:bCs/>
          <w:lang w:val="zh-CN" w:eastAsia="ja-JP"/>
        </w:rPr>
        <w:t>List of Figures / Tables / Plates</w:t>
      </w:r>
      <w:r>
        <w:rPr>
          <w:lang w:val="zh-CN" w:eastAsia="ja-JP"/>
        </w:rPr>
        <w:t xml:space="preserve"> (essential for visuals).</w:t>
      </w:r>
    </w:p>
    <w:p w14:paraId="1FFAF0F1" w14:textId="77777777" w:rsidR="00E713AC" w:rsidRDefault="00000000">
      <w:pPr>
        <w:spacing w:after="0"/>
        <w:rPr>
          <w:lang w:val="zh-CN" w:eastAsia="ja-JP"/>
        </w:rPr>
      </w:pPr>
      <w:r>
        <w:t xml:space="preserve">• </w:t>
      </w:r>
      <w:r>
        <w:rPr>
          <w:b/>
          <w:bCs/>
          <w:lang w:val="zh-CN" w:eastAsia="ja-JP"/>
        </w:rPr>
        <w:t>List of Abbreviations</w:t>
      </w:r>
      <w:r>
        <w:rPr>
          <w:lang w:val="zh-CN" w:eastAsia="ja-JP"/>
        </w:rPr>
        <w:t xml:space="preserve"> (if needed).</w:t>
      </w:r>
    </w:p>
    <w:p w14:paraId="78FA1F4B" w14:textId="77777777" w:rsidR="00E713AC" w:rsidRDefault="00E713AC">
      <w:pPr>
        <w:spacing w:after="0"/>
        <w:rPr>
          <w:lang w:val="zh-CN" w:eastAsia="ja-JP"/>
        </w:rPr>
      </w:pPr>
    </w:p>
    <w:p w14:paraId="2E8F86F8" w14:textId="77777777" w:rsidR="00E713AC" w:rsidRDefault="00000000">
      <w:pPr>
        <w:spacing w:after="0"/>
        <w:rPr>
          <w:lang w:val="zh-CN" w:eastAsia="ja-JP"/>
        </w:rPr>
      </w:pPr>
      <w:r>
        <w:t xml:space="preserve">• </w:t>
      </w:r>
      <w:r>
        <w:rPr>
          <w:b/>
          <w:bCs/>
          <w:lang w:val="zh-CN" w:eastAsia="ja-JP"/>
        </w:rPr>
        <w:t xml:space="preserve">Introduction </w:t>
      </w:r>
      <w:r>
        <w:rPr>
          <w:lang w:val="zh-CN" w:eastAsia="ja-JP"/>
        </w:rPr>
        <w:t>(1,000–3,000 words)</w:t>
      </w:r>
    </w:p>
    <w:p w14:paraId="5339A232" w14:textId="77777777" w:rsidR="00E713AC" w:rsidRDefault="00000000">
      <w:pPr>
        <w:rPr>
          <w:lang w:val="zh-CN" w:eastAsia="ja-JP"/>
        </w:rPr>
      </w:pPr>
      <w:r>
        <w:rPr>
          <w:lang w:val="zh-CN" w:eastAsia="ja-JP"/>
        </w:rPr>
        <w:t>Introduce your artistic practice and research question/problem.</w:t>
      </w:r>
    </w:p>
    <w:p w14:paraId="65104AA7" w14:textId="77777777" w:rsidR="00E713AC" w:rsidRDefault="00000000">
      <w:pPr>
        <w:rPr>
          <w:lang w:val="zh-CN" w:eastAsia="ja-JP"/>
        </w:rPr>
      </w:pPr>
      <w:r>
        <w:rPr>
          <w:lang w:val="zh-CN" w:eastAsia="ja-JP"/>
        </w:rPr>
        <w:t>Explain motivation, context, and significance (why this matters in contemporary fine art).</w:t>
      </w:r>
    </w:p>
    <w:p w14:paraId="3D0CD77D" w14:textId="77777777" w:rsidR="00E713AC" w:rsidRDefault="00000000">
      <w:pPr>
        <w:rPr>
          <w:lang w:val="zh-CN" w:eastAsia="ja-JP"/>
        </w:rPr>
      </w:pPr>
      <w:r>
        <w:rPr>
          <w:lang w:val="zh-CN" w:eastAsia="ja-JP"/>
        </w:rPr>
        <w:t>Outline the overall thesis structure and symbiotic relationship between practice (exhibition/works) and written reflection.</w:t>
      </w:r>
    </w:p>
    <w:p w14:paraId="30B3A2B0" w14:textId="77777777" w:rsidR="00E713AC" w:rsidRDefault="00000000">
      <w:pPr>
        <w:spacing w:after="0"/>
        <w:rPr>
          <w:lang w:val="zh-CN" w:eastAsia="ja-JP"/>
        </w:rPr>
      </w:pPr>
      <w:r>
        <w:rPr>
          <w:lang w:val="zh-CN" w:eastAsia="ja-JP"/>
        </w:rPr>
        <w:t>End with a roadmap of chapters.</w:t>
      </w:r>
    </w:p>
    <w:p w14:paraId="76751054" w14:textId="77777777" w:rsidR="00E713AC" w:rsidRDefault="00E713AC">
      <w:pPr>
        <w:spacing w:after="0"/>
        <w:rPr>
          <w:lang w:val="zh-CN" w:eastAsia="ja-JP"/>
        </w:rPr>
      </w:pPr>
    </w:p>
    <w:p w14:paraId="040050EB" w14:textId="77777777" w:rsidR="00E713AC" w:rsidRDefault="00000000">
      <w:pPr>
        <w:spacing w:after="0"/>
        <w:rPr>
          <w:lang w:val="zh-CN" w:eastAsia="ja-JP"/>
        </w:rPr>
      </w:pPr>
      <w:r>
        <w:t xml:space="preserve">• </w:t>
      </w:r>
      <w:r>
        <w:rPr>
          <w:b/>
          <w:bCs/>
          <w:lang w:val="zh-CN" w:eastAsia="ja-JP"/>
        </w:rPr>
        <w:t>Literature / Contextual Review</w:t>
      </w:r>
      <w:r>
        <w:rPr>
          <w:lang w:val="zh-CN" w:eastAsia="ja-JP"/>
        </w:rPr>
        <w:t xml:space="preserve"> (4,000–8,000 words)</w:t>
      </w:r>
    </w:p>
    <w:p w14:paraId="1B2CF827" w14:textId="77777777" w:rsidR="00E713AC" w:rsidRDefault="00000000">
      <w:pPr>
        <w:rPr>
          <w:lang w:val="zh-CN" w:eastAsia="ja-JP"/>
        </w:rPr>
      </w:pPr>
      <w:r>
        <w:rPr>
          <w:lang w:val="zh-CN" w:eastAsia="ja-JP"/>
        </w:rPr>
        <w:lastRenderedPageBreak/>
        <w:t>Situate your practice in relevant art historical, theoretical, and contemporary discourses (e.g., materiality, post-digital, decolonial art, AI in creativity).</w:t>
      </w:r>
    </w:p>
    <w:p w14:paraId="2738AD29" w14:textId="77777777" w:rsidR="00E713AC" w:rsidRDefault="00000000">
      <w:pPr>
        <w:rPr>
          <w:lang w:val="zh-CN" w:eastAsia="ja-JP"/>
        </w:rPr>
      </w:pPr>
      <w:r>
        <w:rPr>
          <w:lang w:val="zh-CN" w:eastAsia="ja-JP"/>
        </w:rPr>
        <w:t>Review key artists, exhibitions, theories (non-traditional sources: catalogues, artist writings, performances).</w:t>
      </w:r>
    </w:p>
    <w:p w14:paraId="4457D230" w14:textId="77777777" w:rsidR="00E713AC" w:rsidRDefault="00000000">
      <w:pPr>
        <w:rPr>
          <w:lang w:val="zh-CN" w:eastAsia="ja-JP"/>
        </w:rPr>
      </w:pPr>
      <w:r>
        <w:rPr>
          <w:lang w:val="zh-CN" w:eastAsia="ja-JP"/>
        </w:rPr>
        <w:t>Identify gaps your work addresses.</w:t>
      </w:r>
    </w:p>
    <w:p w14:paraId="78276289" w14:textId="77777777" w:rsidR="00E713AC" w:rsidRDefault="00000000">
      <w:pPr>
        <w:rPr>
          <w:lang w:val="zh-CN" w:eastAsia="ja-JP"/>
        </w:rPr>
      </w:pPr>
      <w:r>
        <w:t xml:space="preserve">• </w:t>
      </w:r>
      <w:r>
        <w:rPr>
          <w:b/>
          <w:bCs/>
          <w:lang w:val="zh-CN" w:eastAsia="ja-JP"/>
        </w:rPr>
        <w:t>Methodology / Methodological Framework</w:t>
      </w:r>
      <w:r>
        <w:rPr>
          <w:lang w:val="zh-CN" w:eastAsia="ja-JP"/>
        </w:rPr>
        <w:t xml:space="preserve"> (3,000–6,000 words)</w:t>
      </w:r>
    </w:p>
    <w:p w14:paraId="19FC1F94" w14:textId="77777777" w:rsidR="00E713AC" w:rsidRDefault="00000000">
      <w:pPr>
        <w:rPr>
          <w:lang w:val="zh-CN" w:eastAsia="ja-JP"/>
        </w:rPr>
      </w:pPr>
      <w:r>
        <w:rPr>
          <w:lang w:val="zh-CN" w:eastAsia="ja-JP"/>
        </w:rPr>
        <w:t>Describe your practice-led approach: how making generates knowledge.</w:t>
      </w:r>
    </w:p>
    <w:p w14:paraId="78542357" w14:textId="77777777" w:rsidR="00E713AC" w:rsidRDefault="00000000">
      <w:pPr>
        <w:rPr>
          <w:lang w:val="zh-CN" w:eastAsia="ja-JP"/>
        </w:rPr>
      </w:pPr>
      <w:r>
        <w:rPr>
          <w:lang w:val="zh-CN" w:eastAsia="ja-JP"/>
        </w:rPr>
        <w:t>Detail processes, materials, iterations, documentation methods (photos, videos, journals).</w:t>
      </w:r>
    </w:p>
    <w:p w14:paraId="4EDCB1BF" w14:textId="77777777" w:rsidR="00E713AC" w:rsidRDefault="00000000">
      <w:pPr>
        <w:rPr>
          <w:lang w:val="zh-CN" w:eastAsia="ja-JP"/>
        </w:rPr>
      </w:pPr>
      <w:r>
        <w:rPr>
          <w:lang w:val="zh-CN" w:eastAsia="ja-JP"/>
        </w:rPr>
        <w:t>Explain reflective/reflexive methods (e.g., studio notebooks, critical reflection cycles).</w:t>
      </w:r>
    </w:p>
    <w:p w14:paraId="039BD0DF" w14:textId="77777777" w:rsidR="00E713AC" w:rsidRDefault="00000000">
      <w:pPr>
        <w:spacing w:after="0"/>
        <w:rPr>
          <w:lang w:val="zh-CN" w:eastAsia="ja-JP"/>
        </w:rPr>
      </w:pPr>
      <w:r>
        <w:rPr>
          <w:lang w:val="zh-CN" w:eastAsia="ja-JP"/>
        </w:rPr>
        <w:t>Address ethics if human participants involved (reference your university’s ethics guidelines).</w:t>
      </w:r>
    </w:p>
    <w:p w14:paraId="0BA89E62" w14:textId="77777777" w:rsidR="00E713AC" w:rsidRDefault="00E713AC">
      <w:pPr>
        <w:spacing w:after="0"/>
        <w:rPr>
          <w:lang w:val="zh-CN" w:eastAsia="ja-JP"/>
        </w:rPr>
      </w:pPr>
    </w:p>
    <w:p w14:paraId="5ED0BEE3" w14:textId="77777777" w:rsidR="00E713AC" w:rsidRDefault="00000000">
      <w:pPr>
        <w:spacing w:after="0"/>
        <w:rPr>
          <w:lang w:val="zh-CN" w:eastAsia="ja-JP"/>
        </w:rPr>
      </w:pPr>
      <w:r>
        <w:t xml:space="preserve">• </w:t>
      </w:r>
      <w:r>
        <w:rPr>
          <w:b/>
          <w:bCs/>
          <w:lang w:val="zh-CN" w:eastAsia="ja-JP"/>
        </w:rPr>
        <w:t>Main Body / Critical Reflection on Practice</w:t>
      </w:r>
      <w:r>
        <w:rPr>
          <w:lang w:val="zh-CN" w:eastAsia="ja-JP"/>
        </w:rPr>
        <w:t xml:space="preserve"> (core, 8,000–15,000 words; often multiple chapters)</w:t>
      </w:r>
    </w:p>
    <w:p w14:paraId="0937E788" w14:textId="77777777" w:rsidR="00E713AC" w:rsidRDefault="00000000">
      <w:pPr>
        <w:rPr>
          <w:lang w:val="zh-CN" w:eastAsia="ja-JP"/>
        </w:rPr>
      </w:pPr>
      <w:r>
        <w:rPr>
          <w:lang w:val="zh-CN" w:eastAsia="ja-JP"/>
        </w:rPr>
        <w:t>Narrate key artworks/experiments: describe process, decisions, surprises, failures.</w:t>
      </w:r>
    </w:p>
    <w:p w14:paraId="40B9F072" w14:textId="77777777" w:rsidR="00E713AC" w:rsidRDefault="00000000">
      <w:pPr>
        <w:rPr>
          <w:lang w:val="zh-CN" w:eastAsia="ja-JP"/>
        </w:rPr>
      </w:pPr>
      <w:r>
        <w:rPr>
          <w:lang w:val="zh-CN" w:eastAsia="ja-JP"/>
        </w:rPr>
        <w:t>Critically analyze how practice embodies/explores the research question.</w:t>
      </w:r>
    </w:p>
    <w:p w14:paraId="384A2D6A" w14:textId="77777777" w:rsidR="00E713AC" w:rsidRDefault="00000000">
      <w:pPr>
        <w:rPr>
          <w:lang w:val="zh-CN" w:eastAsia="ja-JP"/>
        </w:rPr>
      </w:pPr>
      <w:r>
        <w:rPr>
          <w:lang w:val="zh-CN" w:eastAsia="ja-JP"/>
        </w:rPr>
        <w:t>Integrate high-quality visuals (figures/plates) with captions linking to text.</w:t>
      </w:r>
    </w:p>
    <w:p w14:paraId="10BD19D9" w14:textId="77777777" w:rsidR="00E713AC" w:rsidRDefault="00000000">
      <w:pPr>
        <w:rPr>
          <w:lang w:val="zh-CN" w:eastAsia="ja-JP"/>
        </w:rPr>
      </w:pPr>
      <w:r>
        <w:rPr>
          <w:lang w:val="zh-CN" w:eastAsia="ja-JP"/>
        </w:rPr>
        <w:t>Discuss theoretical implications, contributions to field (e.g., new method of visual inquiry, insights on materiality/time).</w:t>
      </w:r>
    </w:p>
    <w:p w14:paraId="4195413F" w14:textId="77777777" w:rsidR="00E713AC" w:rsidRDefault="00000000">
      <w:pPr>
        <w:spacing w:after="0"/>
        <w:rPr>
          <w:lang w:val="zh-CN" w:eastAsia="ja-JP"/>
        </w:rPr>
      </w:pPr>
      <w:r>
        <w:rPr>
          <w:lang w:val="zh-CN" w:eastAsia="ja-JP"/>
        </w:rPr>
        <w:t>Possible sub-chapters: one per major project/series, or thematic (e.g., "Iteration and Materiality," "AI-Generated Gestures").</w:t>
      </w:r>
    </w:p>
    <w:p w14:paraId="15F4D632" w14:textId="77777777" w:rsidR="00E713AC" w:rsidRDefault="00E713AC">
      <w:pPr>
        <w:spacing w:after="0"/>
        <w:rPr>
          <w:lang w:val="zh-CN" w:eastAsia="ja-JP"/>
        </w:rPr>
      </w:pPr>
    </w:p>
    <w:p w14:paraId="6CC9FA81" w14:textId="77777777" w:rsidR="00E713AC" w:rsidRDefault="00000000">
      <w:pPr>
        <w:spacing w:after="0"/>
        <w:rPr>
          <w:lang w:val="zh-CN" w:eastAsia="ja-JP"/>
        </w:rPr>
      </w:pPr>
      <w:r>
        <w:t xml:space="preserve">• </w:t>
      </w:r>
      <w:r>
        <w:rPr>
          <w:b/>
          <w:bCs/>
          <w:lang w:val="zh-CN" w:eastAsia="ja-JP"/>
        </w:rPr>
        <w:t xml:space="preserve">Conclusion </w:t>
      </w:r>
      <w:r>
        <w:rPr>
          <w:lang w:val="zh-CN" w:eastAsia="ja-JP"/>
        </w:rPr>
        <w:t>(2,000–4,000 words)</w:t>
      </w:r>
    </w:p>
    <w:p w14:paraId="1B9C0580" w14:textId="77777777" w:rsidR="00E713AC" w:rsidRDefault="00000000">
      <w:pPr>
        <w:rPr>
          <w:lang w:val="zh-CN" w:eastAsia="ja-JP"/>
        </w:rPr>
      </w:pPr>
      <w:r>
        <w:rPr>
          <w:lang w:val="zh-CN" w:eastAsia="ja-JP"/>
        </w:rPr>
        <w:t>Summarize discoveries and original contributions.</w:t>
      </w:r>
    </w:p>
    <w:p w14:paraId="4B8BC2DC" w14:textId="77777777" w:rsidR="00E713AC" w:rsidRDefault="00000000">
      <w:pPr>
        <w:rPr>
          <w:lang w:val="zh-CN" w:eastAsia="ja-JP"/>
        </w:rPr>
      </w:pPr>
      <w:r>
        <w:rPr>
          <w:lang w:val="zh-CN" w:eastAsia="ja-JP"/>
        </w:rPr>
        <w:t>Reflect on limitations and future directions (e.g., post-DFA practice).</w:t>
      </w:r>
    </w:p>
    <w:p w14:paraId="4BBF5713" w14:textId="77777777" w:rsidR="00E713AC" w:rsidRDefault="00000000">
      <w:pPr>
        <w:rPr>
          <w:lang w:val="zh-CN" w:eastAsia="ja-JP"/>
        </w:rPr>
      </w:pPr>
      <w:r>
        <w:rPr>
          <w:lang w:val="zh-CN" w:eastAsia="ja-JP"/>
        </w:rPr>
        <w:t>Reiterate holistic outcome: how creative work + written reflection meet doctoral standards.</w:t>
      </w:r>
    </w:p>
    <w:p w14:paraId="067C55FD" w14:textId="77777777" w:rsidR="00E713AC" w:rsidRDefault="00E713AC">
      <w:pPr>
        <w:spacing w:after="0"/>
        <w:rPr>
          <w:lang w:val="zh-CN" w:eastAsia="ja-JP"/>
        </w:rPr>
      </w:pPr>
    </w:p>
    <w:p w14:paraId="6AFB7578" w14:textId="77777777" w:rsidR="00E713AC" w:rsidRDefault="00000000">
      <w:pPr>
        <w:spacing w:after="0"/>
        <w:rPr>
          <w:b/>
          <w:bCs/>
          <w:lang w:val="zh-CN" w:eastAsia="ja-JP"/>
        </w:rPr>
      </w:pPr>
      <w:r>
        <w:t xml:space="preserve">• </w:t>
      </w:r>
      <w:r>
        <w:rPr>
          <w:b/>
          <w:bCs/>
          <w:lang w:val="zh-CN" w:eastAsia="ja-JP"/>
        </w:rPr>
        <w:t>References / Bibliography</w:t>
      </w:r>
    </w:p>
    <w:p w14:paraId="4BD65D07" w14:textId="77777777" w:rsidR="00E713AC" w:rsidRDefault="00000000">
      <w:pPr>
        <w:rPr>
          <w:lang w:val="zh-CN" w:eastAsia="ja-JP"/>
        </w:rPr>
      </w:pPr>
      <w:r>
        <w:rPr>
          <w:lang w:val="zh-CN" w:eastAsia="ja-JP"/>
        </w:rPr>
        <w:t>Comprehensive list (Chicago Notes-Bibliography style recommended for art/humanities).</w:t>
      </w:r>
    </w:p>
    <w:p w14:paraId="79BBA6B0" w14:textId="77777777" w:rsidR="00E713AC" w:rsidRDefault="00000000">
      <w:pPr>
        <w:rPr>
          <w:lang w:val="zh-CN" w:eastAsia="ja-JP"/>
        </w:rPr>
      </w:pPr>
      <w:r>
        <w:t xml:space="preserve">• </w:t>
      </w:r>
      <w:r>
        <w:rPr>
          <w:b/>
          <w:bCs/>
          <w:lang w:val="zh-CN" w:eastAsia="ja-JP"/>
        </w:rPr>
        <w:t xml:space="preserve">Appendices </w:t>
      </w:r>
      <w:r>
        <w:rPr>
          <w:lang w:val="zh-CN" w:eastAsia="ja-JP"/>
        </w:rPr>
        <w:t>(optional)</w:t>
      </w:r>
    </w:p>
    <w:p w14:paraId="2EF6A347" w14:textId="77777777" w:rsidR="00E713AC" w:rsidRDefault="00000000">
      <w:pPr>
        <w:rPr>
          <w:lang w:val="zh-CN" w:eastAsia="ja-JP"/>
        </w:rPr>
      </w:pPr>
      <w:r>
        <w:rPr>
          <w:lang w:val="zh-CN" w:eastAsia="ja-JP"/>
        </w:rPr>
        <w:t>Full documentation (process photos, timelines, interview transcripts if relevant).</w:t>
      </w:r>
    </w:p>
    <w:p w14:paraId="46E29F81" w14:textId="77777777" w:rsidR="00E713AC" w:rsidRDefault="00000000">
      <w:pPr>
        <w:rPr>
          <w:lang w:val="zh-CN" w:eastAsia="ja-JP"/>
        </w:rPr>
      </w:pPr>
      <w:r>
        <w:rPr>
          <w:lang w:val="zh-CN" w:eastAsia="ja-JP"/>
        </w:rPr>
        <w:t>Additional materials (e.g., exhibition catalogue excerpts).</w:t>
      </w:r>
    </w:p>
    <w:p w14:paraId="7F0DE0FD" w14:textId="77777777" w:rsidR="00E713AC" w:rsidRDefault="00E713AC">
      <w:pPr>
        <w:rPr>
          <w:lang w:val="zh-CN" w:eastAsia="ja-JP"/>
        </w:rPr>
      </w:pPr>
    </w:p>
    <w:p w14:paraId="527D54E7" w14:textId="77777777" w:rsidR="00E713AC" w:rsidRDefault="00E713AC">
      <w:pPr>
        <w:rPr>
          <w:lang w:val="zh-CN" w:eastAsia="ja-JP"/>
        </w:rPr>
      </w:pPr>
    </w:p>
    <w:p w14:paraId="2D2EF9A9" w14:textId="77777777" w:rsidR="00E713AC" w:rsidRDefault="00000000">
      <w:pPr>
        <w:pStyle w:val="Heading2"/>
      </w:pPr>
      <w:r>
        <w:t>Glossary:</w:t>
      </w:r>
    </w:p>
    <w:p w14:paraId="7E2C96C4" w14:textId="77777777" w:rsidR="00E713AC" w:rsidRDefault="00000000">
      <w:r>
        <w:t>This glossary defines key terms used throughout the DFA Survival Guidebook and in practice-based research more broadly. Terms are arranged alphabetically. For context-specific usage, see the relevant sections referenced in parentheses.</w:t>
      </w:r>
    </w:p>
    <w:p w14:paraId="0FA0DD42" w14:textId="77777777" w:rsidR="00E713AC" w:rsidRDefault="00000000">
      <w:pPr>
        <w:spacing w:after="120"/>
      </w:pPr>
      <w:r>
        <w:rPr>
          <w:b/>
        </w:rPr>
        <w:t>Artifact</w:t>
      </w:r>
      <w:r>
        <w:t>: In research contexts, an artifact refers to any object or output created during the research process. In practice-based DFAs, artifacts are the artworks, installations, performances, or creative outputs that constitute the primary research evidence alongside written components.</w:t>
      </w:r>
    </w:p>
    <w:p w14:paraId="2954F0CA" w14:textId="77777777" w:rsidR="00E713AC" w:rsidRDefault="00000000">
      <w:pPr>
        <w:spacing w:after="120"/>
      </w:pPr>
      <w:r>
        <w:rPr>
          <w:b/>
        </w:rPr>
        <w:t>Artistic Research</w:t>
      </w:r>
      <w:r>
        <w:t>: A research paradigm where artistic practice itself is the method of inquiry and knowledge generation. Also called practice-based research or practice-led research. The creative process produces insights that cannot be fully articulated through text alone.</w:t>
      </w:r>
    </w:p>
    <w:p w14:paraId="3AA6379F" w14:textId="77777777" w:rsidR="00E713AC" w:rsidRDefault="00000000">
      <w:r>
        <w:rPr>
          <w:b/>
          <w:bCs/>
        </w:rPr>
        <w:t>Artist-Researcher:</w:t>
      </w:r>
      <w:r>
        <w:t xml:space="preserve"> An artist who conducts research primarily through their own artistic practice. You remain first and foremost an artist, and your making, experimenting, and reflecting on your own work become the main way of generating new knowledge.</w:t>
      </w:r>
      <w:r>
        <w:rPr>
          <w:rFonts w:eastAsia="PMingLiU" w:hint="eastAsia"/>
          <w:lang w:eastAsia="zh-TW"/>
        </w:rPr>
        <w:t xml:space="preserve"> </w:t>
      </w:r>
      <w:r>
        <w:t>It is different from a researcher who studies art from the outside, or someone who simply uses artistic methods as a tool.</w:t>
      </w:r>
    </w:p>
    <w:p w14:paraId="15B0981F" w14:textId="77777777" w:rsidR="00E713AC" w:rsidRDefault="00000000">
      <w:pPr>
        <w:spacing w:after="120"/>
        <w:rPr>
          <w:rStyle w:val="Emphasis"/>
        </w:rPr>
      </w:pPr>
      <w:r>
        <w:rPr>
          <w:rStyle w:val="Strong"/>
        </w:rPr>
        <w:t>Bibliography</w:t>
      </w:r>
      <w:r>
        <w:t xml:space="preserve">: A comprehensive list of all sources consulted during your research, </w:t>
      </w:r>
      <w:proofErr w:type="gramStart"/>
      <w:r>
        <w:t>whether or not</w:t>
      </w:r>
      <w:proofErr w:type="gramEnd"/>
      <w:r>
        <w:t xml:space="preserve"> they are directly cited in your thesis. Demonstrates the full scope of your scholarly engagement. In practice-based research, bibliographies often include non-traditional sources like exhibition catalogues, artist writings, performances, and films. On a practice-based DFA, the bibliography is broader than the reference list, showing the breadth of your intellectual and artistic inquiry. </w:t>
      </w:r>
      <w:r>
        <w:rPr>
          <w:rStyle w:val="Emphasis"/>
        </w:rPr>
        <w:t>See also: References.</w:t>
      </w:r>
    </w:p>
    <w:p w14:paraId="32C88A12" w14:textId="77777777" w:rsidR="00E713AC" w:rsidRDefault="00000000">
      <w:pPr>
        <w:spacing w:after="120"/>
      </w:pPr>
      <w:r>
        <w:rPr>
          <w:b/>
        </w:rPr>
        <w:t>Case Study</w:t>
      </w:r>
      <w:r>
        <w:t>: An in-depth examination of a particular instance, example, or project that illustrates broader principles or methods. In DFA contexts, case studies might analyze specific artworks, exhibitions, or other students' research approaches.</w:t>
      </w:r>
    </w:p>
    <w:p w14:paraId="52659FD7" w14:textId="77777777" w:rsidR="00E713AC" w:rsidRDefault="00000000">
      <w:pPr>
        <w:spacing w:after="120"/>
      </w:pPr>
      <w:r>
        <w:rPr>
          <w:b/>
        </w:rPr>
        <w:t>Chicago Manual of Style</w:t>
      </w:r>
      <w:r>
        <w:t xml:space="preserve">: A </w:t>
      </w:r>
      <w:proofErr w:type="gramStart"/>
      <w:r>
        <w:t>widely-used</w:t>
      </w:r>
      <w:proofErr w:type="gramEnd"/>
      <w:r>
        <w:t xml:space="preserve"> citation and formatting system, particularly common in art history and humanities research. The Notes-Bibliography variant is especially suited to citing artworks, exhibitions, and visual sources.</w:t>
      </w:r>
    </w:p>
    <w:p w14:paraId="1FB1EA00" w14:textId="77777777" w:rsidR="00E713AC" w:rsidRDefault="00000000">
      <w:pPr>
        <w:spacing w:after="120"/>
      </w:pPr>
      <w:r>
        <w:rPr>
          <w:b/>
        </w:rPr>
        <w:t>Citation</w:t>
      </w:r>
      <w:r>
        <w:t>: The formal acknowledgment of sources used in your research. Citations provide credit to original creators and allow readers to locate your sources. Essential for academic integrity and demonstrating scholarly engagement.</w:t>
      </w:r>
    </w:p>
    <w:p w14:paraId="076AD540" w14:textId="77777777" w:rsidR="00E713AC" w:rsidRDefault="00000000">
      <w:r>
        <w:rPr>
          <w:b/>
        </w:rPr>
        <w:t>Co-supervisor</w:t>
      </w:r>
      <w:r>
        <w:t>: A secondary supervisor who may be appointed to support interdisciplinary needs or complementary expertise, and to support the principal supervisor. Check with your institution on their policy for co-supervision, as it usually requires agreement from all parties (principal supervisor, co-supervisor, and student).</w:t>
      </w:r>
    </w:p>
    <w:p w14:paraId="2883A429" w14:textId="77777777" w:rsidR="00E713AC" w:rsidRDefault="00000000">
      <w:pPr>
        <w:spacing w:after="120"/>
      </w:pPr>
      <w:r>
        <w:rPr>
          <w:b/>
        </w:rPr>
        <w:t>Contribution (Original Contribution to Knowledge)</w:t>
      </w:r>
      <w:r>
        <w:t xml:space="preserve">: The unique, new insight or understanding your research adds to the field. In a DFA, this comes from both the creative work </w:t>
      </w:r>
      <w:r>
        <w:lastRenderedPageBreak/>
        <w:t>produced and the critical reflection on what that work reveals about art, perception, culture, or other domains.</w:t>
      </w:r>
    </w:p>
    <w:p w14:paraId="5D3D7D4D" w14:textId="77777777" w:rsidR="00E713AC" w:rsidRDefault="00000000">
      <w:pPr>
        <w:spacing w:after="120"/>
      </w:pPr>
      <w:r>
        <w:rPr>
          <w:b/>
        </w:rPr>
        <w:t>Critical Reflection</w:t>
      </w:r>
      <w:r>
        <w:t>: The systematic, analytical examination of your own practice, processes, and outcomes. Goes beyond description to interrogate assumptions, reveal implicit knowledge, and connect practice to broader theoretical or cultural contexts.</w:t>
      </w:r>
    </w:p>
    <w:p w14:paraId="1AFCECF5" w14:textId="77777777" w:rsidR="00E713AC" w:rsidRDefault="00000000">
      <w:pPr>
        <w:spacing w:after="120"/>
        <w:rPr>
          <w:b/>
        </w:rPr>
      </w:pPr>
      <w:r>
        <w:rPr>
          <w:b/>
        </w:rPr>
        <w:t xml:space="preserve">Doctoral Candidate: </w:t>
      </w:r>
      <w:r>
        <w:rPr>
          <w:bCs/>
        </w:rPr>
        <w:t>The status achieved after successfully passing your Thesis Proposal Assessment (TPA) or equivalent assessment. Candidates have demonstrated a finalized research plan and official readiness to conduct independent research toward the final thesis and defense.</w:t>
      </w:r>
    </w:p>
    <w:p w14:paraId="741B41C0" w14:textId="77777777" w:rsidR="00E713AC" w:rsidRDefault="00000000">
      <w:pPr>
        <w:spacing w:after="120"/>
        <w:rPr>
          <w:b/>
        </w:rPr>
      </w:pPr>
      <w:r>
        <w:rPr>
          <w:b/>
        </w:rPr>
        <w:t xml:space="preserve">Doctoral Student: </w:t>
      </w:r>
      <w:r>
        <w:rPr>
          <w:bCs/>
        </w:rPr>
        <w:t>A student enrolled on a DFA program who has not yet passed the Thesis Proposal Assessment (TPA). Students in this phase complete required coursework and the "preliminary" Qualifying Examination while developing their formal research direction.</w:t>
      </w:r>
    </w:p>
    <w:p w14:paraId="54B65F48" w14:textId="77777777" w:rsidR="00E713AC" w:rsidRDefault="00000000">
      <w:pPr>
        <w:spacing w:after="120"/>
      </w:pPr>
      <w:r>
        <w:rPr>
          <w:b/>
        </w:rPr>
        <w:t>Documentation</w:t>
      </w:r>
      <w:r>
        <w:t>: The systematic recording of your creative process, including photographs, videos, sketches, notes, material tests, and iterations. Essential evidence for demonstrating rigor in practice-based research and supporting thesis arguments.</w:t>
      </w:r>
    </w:p>
    <w:p w14:paraId="737222A6" w14:textId="77777777" w:rsidR="00E713AC" w:rsidRDefault="00000000">
      <w:pPr>
        <w:spacing w:after="120"/>
      </w:pPr>
      <w:r>
        <w:rPr>
          <w:b/>
        </w:rPr>
        <w:t>Embodied Knowledge</w:t>
      </w:r>
      <w:r>
        <w:t>: Knowledge that resides in bodily experience, sensory perception, and physical practice rather than solely in abstract concepts or text. Central to practice-based research where making and material engagement generate understanding.</w:t>
      </w:r>
    </w:p>
    <w:p w14:paraId="7CA81DCE" w14:textId="77777777" w:rsidR="00E713AC" w:rsidRDefault="00000000">
      <w:pPr>
        <w:spacing w:after="120"/>
      </w:pPr>
      <w:r>
        <w:rPr>
          <w:b/>
        </w:rPr>
        <w:t>Epistemology</w:t>
      </w:r>
      <w:r>
        <w:t>: The philosophical study of knowledge, what counts as knowledge, how it is acquired, and what makes it valid. Practice-based research challenges traditional epistemologies by positioning artistic practice as a legitimate mode of knowledge production.</w:t>
      </w:r>
    </w:p>
    <w:p w14:paraId="588C706E" w14:textId="77777777" w:rsidR="00E713AC" w:rsidRDefault="00000000">
      <w:pPr>
        <w:spacing w:after="120"/>
      </w:pPr>
      <w:r>
        <w:rPr>
          <w:b/>
        </w:rPr>
        <w:t>Ethics / Ethical Approval</w:t>
      </w:r>
      <w:r>
        <w:t xml:space="preserve">: Principles and procedures ensuring research respects participants' rights, dignity, and well-being. Required when working with human subjects (interviews, participatory projects). Generally governed by </w:t>
      </w:r>
      <w:proofErr w:type="gramStart"/>
      <w:r>
        <w:t>University</w:t>
      </w:r>
      <w:proofErr w:type="gramEnd"/>
      <w:r>
        <w:t xml:space="preserve"> ethics guidelines.</w:t>
      </w:r>
    </w:p>
    <w:p w14:paraId="1EC20AE6" w14:textId="77777777" w:rsidR="00E713AC" w:rsidRDefault="00000000">
      <w:pPr>
        <w:spacing w:after="120"/>
      </w:pPr>
      <w:r>
        <w:rPr>
          <w:b/>
        </w:rPr>
        <w:t>Exhibition</w:t>
      </w:r>
      <w:r>
        <w:t>: In DFA contexts, the public presentation of creative work that forms the primary component of your doctoral submission. May be physical, digital, or hybrid. Demonstrates the culmination of your practice-based research.</w:t>
      </w:r>
    </w:p>
    <w:p w14:paraId="1528D25A" w14:textId="77777777" w:rsidR="00E713AC" w:rsidRDefault="00000000">
      <w:pPr>
        <w:spacing w:after="120"/>
      </w:pPr>
      <w:r>
        <w:rPr>
          <w:b/>
        </w:rPr>
        <w:t>External Examiner</w:t>
      </w:r>
      <w:r>
        <w:t>: An independent expert from outside the University who assesses your thesis and defense. Provides objective evaluation and ensures your work meets international doctoral standards in your field.</w:t>
      </w:r>
    </w:p>
    <w:p w14:paraId="5A1A9465" w14:textId="77777777" w:rsidR="00E713AC" w:rsidRDefault="00000000">
      <w:pPr>
        <w:spacing w:after="120"/>
      </w:pPr>
      <w:r>
        <w:rPr>
          <w:b/>
        </w:rPr>
        <w:t>Feasibility</w:t>
      </w:r>
      <w:r>
        <w:t>: The realistic achievability of your proposed research within your DFA timeframe (four years) and available resources. A feasible project has clear scope, manageable scale, and addresses potential obstacles.</w:t>
      </w:r>
    </w:p>
    <w:p w14:paraId="48BBCE64" w14:textId="77777777" w:rsidR="00E713AC" w:rsidRDefault="00000000">
      <w:pPr>
        <w:spacing w:after="120"/>
      </w:pPr>
      <w:r>
        <w:rPr>
          <w:b/>
        </w:rPr>
        <w:t>Generative AI</w:t>
      </w:r>
      <w:r>
        <w:t xml:space="preserve">: Artificial intelligence systems (e.g., ChatGPT, Midjourney, Stable Diffusion) that can create text, images, or other outputs. Increasingly relevant in contemporary art </w:t>
      </w:r>
      <w:proofErr w:type="gramStart"/>
      <w:r>
        <w:t>practice, but</w:t>
      </w:r>
      <w:proofErr w:type="gramEnd"/>
      <w:r>
        <w:t xml:space="preserve"> requiring ethical consideration and proper attribution in academic contexts.</w:t>
      </w:r>
    </w:p>
    <w:p w14:paraId="67E9BB27" w14:textId="77777777" w:rsidR="00E713AC" w:rsidRDefault="00000000">
      <w:pPr>
        <w:spacing w:after="120"/>
      </w:pPr>
      <w:r>
        <w:rPr>
          <w:b/>
        </w:rPr>
        <w:t>Informed Consent</w:t>
      </w:r>
      <w:r>
        <w:t>: The ethical requirement that research participants understand the purpose, methods, risks, and benefits of a study before agreeing to participate. Must be documented, especially for interviews or collaborative projects.</w:t>
      </w:r>
    </w:p>
    <w:p w14:paraId="0CBDA56E" w14:textId="77777777" w:rsidR="00E713AC" w:rsidRDefault="00000000">
      <w:pPr>
        <w:spacing w:after="120"/>
      </w:pPr>
      <w:r>
        <w:rPr>
          <w:b/>
        </w:rPr>
        <w:lastRenderedPageBreak/>
        <w:t>Interdisciplinary</w:t>
      </w:r>
      <w:r>
        <w:t>: Integrating methods, concepts, or frameworks from multiple academic fields. DFA research often bridges fine art with philosophy, science, technology, literature, anthropology, or other disciplines.</w:t>
      </w:r>
    </w:p>
    <w:p w14:paraId="628033C4" w14:textId="77777777" w:rsidR="00E713AC" w:rsidRDefault="00000000">
      <w:pPr>
        <w:spacing w:after="120"/>
      </w:pPr>
      <w:r>
        <w:rPr>
          <w:b/>
        </w:rPr>
        <w:t>Iteration</w:t>
      </w:r>
      <w:r>
        <w:t>: The process of repeated cycles of making, testing, reflecting, and refining. Central to practice-based research where knowledge emerges gradually through progressive experimentation.</w:t>
      </w:r>
    </w:p>
    <w:p w14:paraId="6B4ED8FE" w14:textId="77777777" w:rsidR="00E713AC" w:rsidRDefault="00000000">
      <w:pPr>
        <w:spacing w:after="120"/>
      </w:pPr>
      <w:r>
        <w:rPr>
          <w:b/>
        </w:rPr>
        <w:t>Literature Review</w:t>
      </w:r>
      <w:r>
        <w:t>: A comprehensive survey and critical analysis of existing scholarship relevant to your research question. In practice-based DFAs, this should include both written texts and visual / material precedents (artworks, exhibitions, practices).</w:t>
      </w:r>
    </w:p>
    <w:p w14:paraId="4AE76C9A" w14:textId="77777777" w:rsidR="00E713AC" w:rsidRDefault="00000000">
      <w:pPr>
        <w:spacing w:after="120"/>
      </w:pPr>
      <w:r>
        <w:rPr>
          <w:b/>
        </w:rPr>
        <w:t>Materiality</w:t>
      </w:r>
      <w:r>
        <w:t xml:space="preserve">: The physical properties and qualities of materials (texture, weight, translucency, etc.) and how </w:t>
      </w:r>
      <w:proofErr w:type="gramStart"/>
      <w:r>
        <w:t>these shape</w:t>
      </w:r>
      <w:proofErr w:type="gramEnd"/>
      <w:r>
        <w:t xml:space="preserve"> meaning, experience, or aesthetic effect. Often a focus in practice-based research.</w:t>
      </w:r>
    </w:p>
    <w:p w14:paraId="2B3E322E" w14:textId="77777777" w:rsidR="00E713AC" w:rsidRDefault="00000000">
      <w:pPr>
        <w:spacing w:after="120"/>
      </w:pPr>
      <w:r>
        <w:rPr>
          <w:b/>
        </w:rPr>
        <w:t>Methodology / Methodological Framework</w:t>
      </w:r>
      <w:r>
        <w:t>: The systematic approach or set of methods you use to conduct research. In practice-based doctorates, this is how your artistic practice functions as research - the specific processes, techniques, and cycles of making and reflection.</w:t>
      </w:r>
    </w:p>
    <w:p w14:paraId="0C17C736" w14:textId="77777777" w:rsidR="00E713AC" w:rsidRDefault="00000000">
      <w:pPr>
        <w:spacing w:after="120"/>
      </w:pPr>
      <w:r>
        <w:rPr>
          <w:b/>
        </w:rPr>
        <w:t>Mock Defense</w:t>
      </w:r>
      <w:r>
        <w:t xml:space="preserve">: </w:t>
      </w:r>
      <w:proofErr w:type="gramStart"/>
      <w:r>
        <w:t>A practice version of the thesis defense,</w:t>
      </w:r>
      <w:proofErr w:type="gramEnd"/>
      <w:r>
        <w:t xml:space="preserve"> typically conducted 6-8 weeks before the actual examination. Allows you to rehearse your presentation, test responses to questions, and identify areas needing strengthening.</w:t>
      </w:r>
    </w:p>
    <w:p w14:paraId="07421473" w14:textId="77777777" w:rsidR="00E713AC" w:rsidRDefault="00000000">
      <w:pPr>
        <w:spacing w:after="120"/>
      </w:pPr>
      <w:r>
        <w:rPr>
          <w:b/>
        </w:rPr>
        <w:t>Multimodal</w:t>
      </w:r>
      <w:r>
        <w:t>: Involving multiple forms or modes of communication or expression (text, image, sound, performance, etc.). Practice-based research is inherently multimodal, combining creative outputs with written analysis.</w:t>
      </w:r>
    </w:p>
    <w:p w14:paraId="0D172B3D" w14:textId="77777777" w:rsidR="00E713AC" w:rsidRDefault="00000000">
      <w:pPr>
        <w:spacing w:after="120"/>
      </w:pPr>
      <w:r>
        <w:rPr>
          <w:b/>
        </w:rPr>
        <w:t>Originality</w:t>
      </w:r>
      <w:r>
        <w:t>: The quality of being new, unique, or innovative. Doctoral research must demonstrate originality, your work should offer fresh insights, novel methods, or new connections that advance the field of contemporary fine art.</w:t>
      </w:r>
    </w:p>
    <w:p w14:paraId="4CE2841F" w14:textId="77777777" w:rsidR="00E713AC" w:rsidRDefault="00000000">
      <w:pPr>
        <w:spacing w:after="120"/>
      </w:pPr>
      <w:r>
        <w:rPr>
          <w:b/>
        </w:rPr>
        <w:t>Phenomenology</w:t>
      </w:r>
      <w:r>
        <w:t>: A philosophical approach focusing on lived, subjective experience and embodied perception. Particularly relevant for practice-based research exploring how artworks are experienced or how making shapes understanding.</w:t>
      </w:r>
    </w:p>
    <w:p w14:paraId="28F3859C" w14:textId="77777777" w:rsidR="00E713AC" w:rsidRDefault="00000000">
      <w:pPr>
        <w:rPr>
          <w:b/>
          <w:bCs/>
        </w:rPr>
      </w:pPr>
      <w:r>
        <w:rPr>
          <w:b/>
          <w:bCs/>
        </w:rPr>
        <w:t xml:space="preserve">Practice-Based Research: </w:t>
      </w:r>
      <w:r>
        <w:t>A type of doctoral research in which the creative practice itself (making art, experimenting, and reflecting on your own work) is the main method of inquiry. New knowledge is generated through the act of creating, and the artworks are central evidence of the research contribution. Also referred to as practice-led or artistic research.</w:t>
      </w:r>
    </w:p>
    <w:p w14:paraId="21597E2D" w14:textId="77777777" w:rsidR="00E713AC" w:rsidRDefault="00000000">
      <w:pPr>
        <w:rPr>
          <w:b/>
          <w:bCs/>
        </w:rPr>
      </w:pPr>
      <w:r>
        <w:rPr>
          <w:b/>
          <w:bCs/>
        </w:rPr>
        <w:t xml:space="preserve">Practice-Led Research: </w:t>
      </w:r>
      <w:r>
        <w:t>Research in which artistic practice leads the direction of the inquiry. Questions, ideas, and discoveries arise first from making and studio experimentation, after which theory and reflection are used to deepen and articulate them.</w:t>
      </w:r>
    </w:p>
    <w:p w14:paraId="014A4949" w14:textId="77777777" w:rsidR="00E713AC" w:rsidRDefault="00000000">
      <w:r>
        <w:t>In reality, “practice-based” and “practice-led” are often used interchangeably in fine art doctorates. The main nuance is that “practice-led” puts slightly more emphasis on the practice actively guiding and shaping the research questions from the beginning.</w:t>
      </w:r>
    </w:p>
    <w:p w14:paraId="19EA2D32" w14:textId="77777777" w:rsidR="00E713AC" w:rsidRDefault="00000000">
      <w:pPr>
        <w:spacing w:after="120"/>
      </w:pPr>
      <w:r>
        <w:rPr>
          <w:b/>
        </w:rPr>
        <w:lastRenderedPageBreak/>
        <w:t>Principal Supervisor</w:t>
      </w:r>
      <w:r>
        <w:t>: The main academic advisor responsible for guiding your research, providing feedback, and ensuring overall progress. The principal supervisor serves as the primary advisor for your academic training, creative practice, thesis development, exhibition planning (where applicable), and degree completion.</w:t>
      </w:r>
    </w:p>
    <w:p w14:paraId="47D48911" w14:textId="77777777" w:rsidR="00E713AC" w:rsidRDefault="00000000">
      <w:pPr>
        <w:spacing w:after="120"/>
        <w:rPr>
          <w:b/>
        </w:rPr>
      </w:pPr>
      <w:r>
        <w:rPr>
          <w:b/>
        </w:rPr>
        <w:t xml:space="preserve">Proposal / Research Proposal: </w:t>
      </w:r>
      <w:r>
        <w:rPr>
          <w:bCs/>
        </w:rPr>
        <w:t>A formal document that evolves from a "preliminary" version for the QE (usually in year 2) into a finalized "scholarly blueprint" for the TPA (usually in year 3). The final TPA version is typically 3,000–5,000 words plus visuals and serves as the definitive roadmap for the remaining DFA years.</w:t>
      </w:r>
    </w:p>
    <w:p w14:paraId="3F9B3578" w14:textId="77777777" w:rsidR="00E713AC" w:rsidRDefault="00000000">
      <w:pPr>
        <w:spacing w:after="120"/>
      </w:pPr>
      <w:r>
        <w:rPr>
          <w:b/>
        </w:rPr>
        <w:t>Qualitative Research</w:t>
      </w:r>
      <w:r>
        <w:t>: Research focused on understanding meanings, experiences, and contexts through non-numerical data (interviews, observations, textual analysis). Common in practice-based research and humanities.</w:t>
      </w:r>
    </w:p>
    <w:p w14:paraId="405F081F" w14:textId="77777777" w:rsidR="00E713AC" w:rsidRDefault="00000000">
      <w:pPr>
        <w:spacing w:after="120"/>
        <w:rPr>
          <w:b/>
        </w:rPr>
      </w:pPr>
      <w:r>
        <w:rPr>
          <w:b/>
        </w:rPr>
        <w:t xml:space="preserve">Qualifying Examination (QE): </w:t>
      </w:r>
      <w:r>
        <w:rPr>
          <w:bCs/>
        </w:rPr>
        <w:t xml:space="preserve">A "preliminary dissertation proposal defense" usually held toward the end of the second year. It evaluates your practice-led trajectory and readiness for independent </w:t>
      </w:r>
      <w:proofErr w:type="gramStart"/>
      <w:r>
        <w:rPr>
          <w:bCs/>
        </w:rPr>
        <w:t>research, but</w:t>
      </w:r>
      <w:proofErr w:type="gramEnd"/>
      <w:r>
        <w:rPr>
          <w:bCs/>
        </w:rPr>
        <w:t xml:space="preserve"> does not yet grant doctoral candidacy status.</w:t>
      </w:r>
    </w:p>
    <w:p w14:paraId="18C76AB3" w14:textId="77777777" w:rsidR="00E713AC" w:rsidRDefault="00000000">
      <w:pPr>
        <w:spacing w:after="120"/>
      </w:pPr>
      <w:r>
        <w:rPr>
          <w:b/>
          <w:bCs/>
        </w:rPr>
        <w:t>References:</w:t>
      </w:r>
      <w:r>
        <w:t xml:space="preserve"> A focused list of only those specific sources that are directly cited, quoted, or explicitly referenced in your written thesis. Provides precise documentation of sources that directly support your arguments and claims. In practice-based doctorates, your references should be a subset of your bibliography, every item in references must appear in bibliography, but not vice versa. Allows examiners to verify citations and trace specific scholarly claims. See also: Bibliography.</w:t>
      </w:r>
    </w:p>
    <w:p w14:paraId="35551BE9" w14:textId="77777777" w:rsidR="00E713AC" w:rsidRDefault="00000000">
      <w:pPr>
        <w:spacing w:after="120"/>
      </w:pPr>
      <w:r>
        <w:rPr>
          <w:b/>
        </w:rPr>
        <w:t>Research Journal / Studio Notebook</w:t>
      </w:r>
      <w:r>
        <w:t>: A dedicated space (analog, digital, or hybrid) for documenting studio processes, capturing ideas, reflecting on making, tracking readings, and mapping the evolution of your inquiry. Essential tool for practice-based research.</w:t>
      </w:r>
    </w:p>
    <w:p w14:paraId="1D1C8D0B" w14:textId="77777777" w:rsidR="00E713AC" w:rsidRDefault="00000000">
      <w:pPr>
        <w:spacing w:after="120"/>
      </w:pPr>
      <w:r>
        <w:rPr>
          <w:b/>
        </w:rPr>
        <w:t>Research Question</w:t>
      </w:r>
      <w:r>
        <w:t>: The focused question(s) that guide your doctoral inquiry. In practice-based research, the question emerges from your artistic work and can only be answered through continued practice, not through text or theory alone.</w:t>
      </w:r>
    </w:p>
    <w:p w14:paraId="6B5B98D7" w14:textId="77777777" w:rsidR="00E713AC" w:rsidRDefault="00000000">
      <w:pPr>
        <w:spacing w:after="120"/>
      </w:pPr>
      <w:r>
        <w:rPr>
          <w:b/>
        </w:rPr>
        <w:t>Rigor / Rigorous</w:t>
      </w:r>
      <w:r>
        <w:t>: The quality of being thorough, systematic, and methodologically sound. Practice-based research demonstrates rigor through consistent documentation, self-critical reflection, engagement with theory, and transparent methodology.</w:t>
      </w:r>
    </w:p>
    <w:p w14:paraId="340352A3" w14:textId="77777777" w:rsidR="00E713AC" w:rsidRDefault="00000000">
      <w:pPr>
        <w:spacing w:after="120"/>
      </w:pPr>
      <w:r>
        <w:rPr>
          <w:b/>
        </w:rPr>
        <w:t>Scope</w:t>
      </w:r>
      <w:r>
        <w:t xml:space="preserve">: The boundaries and scale of your research project, what you will and won't include, how many works you'll produce, what timeframe you'll cover. Defining appropriate scope ensures feasibility within the typical timeframe of a DFA </w:t>
      </w:r>
      <w:proofErr w:type="spellStart"/>
      <w:r>
        <w:t>programme</w:t>
      </w:r>
      <w:proofErr w:type="spellEnd"/>
      <w:r>
        <w:t>.</w:t>
      </w:r>
    </w:p>
    <w:p w14:paraId="7E860BA8" w14:textId="77777777" w:rsidR="00E713AC" w:rsidRDefault="00000000">
      <w:pPr>
        <w:spacing w:after="120"/>
      </w:pPr>
      <w:r>
        <w:rPr>
          <w:b/>
        </w:rPr>
        <w:t>Semiotics</w:t>
      </w:r>
      <w:r>
        <w:t xml:space="preserve">: The study of signs, symbols, and </w:t>
      </w:r>
      <w:proofErr w:type="gramStart"/>
      <w:r>
        <w:t>meaning-making</w:t>
      </w:r>
      <w:proofErr w:type="gramEnd"/>
      <w:r>
        <w:t>. Useful analytical framework for examining how visual elements in artworks communicate or construct cultural codes.</w:t>
      </w:r>
    </w:p>
    <w:p w14:paraId="777A2111" w14:textId="77777777" w:rsidR="00E713AC" w:rsidRDefault="00000000">
      <w:pPr>
        <w:spacing w:after="120"/>
      </w:pPr>
      <w:r>
        <w:rPr>
          <w:b/>
        </w:rPr>
        <w:t>Site-Specific</w:t>
      </w:r>
      <w:r>
        <w:t>: Artwork or research created in response to a particular physical, cultural, or historical location. The site becomes integral to the work's meaning and cannot be separated from it.</w:t>
      </w:r>
    </w:p>
    <w:p w14:paraId="23537EBE" w14:textId="77777777" w:rsidR="00E713AC" w:rsidRDefault="00000000">
      <w:pPr>
        <w:spacing w:after="120"/>
      </w:pPr>
      <w:r>
        <w:rPr>
          <w:b/>
        </w:rPr>
        <w:t>Studio Practice</w:t>
      </w:r>
      <w:r>
        <w:t>: The hands-on, creative work of making art in a studio or other workspace. In DFA contexts, studio practice is not separate from research, it is the research.</w:t>
      </w:r>
    </w:p>
    <w:p w14:paraId="5531F259" w14:textId="77777777" w:rsidR="00E713AC" w:rsidRDefault="00000000">
      <w:pPr>
        <w:spacing w:after="120"/>
      </w:pPr>
      <w:r>
        <w:rPr>
          <w:b/>
        </w:rPr>
        <w:lastRenderedPageBreak/>
        <w:t>Symbiotic Relationship</w:t>
      </w:r>
      <w:r>
        <w:t>: In DFA contexts, refers to the mutually interdependent relationship between the creative work (exhibition) and written thesis. Neither can fully exist without the other; together they form the complete doctoral contribution.</w:t>
      </w:r>
    </w:p>
    <w:p w14:paraId="782B2A6D" w14:textId="77777777" w:rsidR="00E713AC" w:rsidRDefault="00000000">
      <w:pPr>
        <w:spacing w:after="120"/>
      </w:pPr>
      <w:r>
        <w:rPr>
          <w:b/>
        </w:rPr>
        <w:t>Thesis</w:t>
      </w:r>
      <w:r>
        <w:t>: In practice-based DFAs, the thesis typically comprises a symbiotic combination of creative output (artworks, exhibition, or performance) and a supporting written component. While word counts vary by institution, often ranging between 20,000–40,000 words, the text must meet doctoral standards for rigor. This written portion contextualizes, analyzes, and reflects critically on the practice.</w:t>
      </w:r>
    </w:p>
    <w:p w14:paraId="2B079F98" w14:textId="77777777" w:rsidR="00E713AC" w:rsidRDefault="00000000">
      <w:pPr>
        <w:spacing w:after="120"/>
      </w:pPr>
      <w:r>
        <w:rPr>
          <w:b/>
        </w:rPr>
        <w:t>Thesis Defense / Viva Voce / Oral Examination</w:t>
      </w:r>
      <w:r>
        <w:t>: The final examination (usually 60-120 minutes) where you present your research and respond to questions from supervisors and examiners. Assesses both your creative work and written thesis holistically.</w:t>
      </w:r>
    </w:p>
    <w:p w14:paraId="5E8257C5" w14:textId="77777777" w:rsidR="00E713AC" w:rsidRDefault="00000000">
      <w:pPr>
        <w:spacing w:after="120"/>
      </w:pPr>
      <w:r>
        <w:rPr>
          <w:b/>
          <w:bCs/>
        </w:rPr>
        <w:t>Thesis Proposal Assessment (TPA):</w:t>
      </w:r>
      <w:r>
        <w:t xml:space="preserve"> The formal dissertation proposal defense usually scheduled in the third year. This milestone requires a comprehensive scholarly blueprint and is the official point of transition from doctoral student to doctoral candidate status.</w:t>
      </w:r>
    </w:p>
    <w:p w14:paraId="496DFA55" w14:textId="77777777" w:rsidR="00E713AC" w:rsidRDefault="00000000">
      <w:pPr>
        <w:spacing w:after="120"/>
      </w:pPr>
      <w:r>
        <w:rPr>
          <w:b/>
        </w:rPr>
        <w:t>Transcription</w:t>
      </w:r>
      <w:r>
        <w:t>: The process of converting audio or video recordings (e.g., interviews) into written text for analysis. Can be verbatim (word-for-word) or thematic (capturing key ideas).</w:t>
      </w:r>
    </w:p>
    <w:p w14:paraId="1B295996" w14:textId="77777777" w:rsidR="00E713AC" w:rsidRDefault="00000000">
      <w:r>
        <w:rPr>
          <w:b/>
          <w:bCs/>
        </w:rPr>
        <w:t xml:space="preserve">Transparency: </w:t>
      </w:r>
      <w:r>
        <w:t>In research involving human participants, transparency means being open and honest with participants from the start. It requires clearly explaining the purpose of the research, what participation involves, any potential risks or benefits, how their data or images will be used, and their right to withdraw at any time. Transparency is a fundamental part of obtaining informed consent and conducting ethical research.</w:t>
      </w:r>
    </w:p>
    <w:p w14:paraId="1C5E86A4" w14:textId="77777777" w:rsidR="00E713AC" w:rsidRDefault="00000000">
      <w:pPr>
        <w:spacing w:after="120"/>
      </w:pPr>
      <w:r>
        <w:rPr>
          <w:b/>
        </w:rPr>
        <w:t>Visual Methodology</w:t>
      </w:r>
      <w:r>
        <w:t>: Research methods that use or analyze visual materials (images, artworks, diagrams, films) as primary data or evidence. Central to practice-based research in fine art.</w:t>
      </w:r>
    </w:p>
    <w:p w14:paraId="71600F6D" w14:textId="77777777" w:rsidR="00E713AC" w:rsidRDefault="00E713AC"/>
    <w:p w14:paraId="0D3CBE3D" w14:textId="77777777" w:rsidR="00E713AC" w:rsidRDefault="00E713AC"/>
    <w:p w14:paraId="6E5AE460" w14:textId="77777777" w:rsidR="00E713AC" w:rsidRDefault="00E713AC"/>
    <w:p w14:paraId="2FF83C40" w14:textId="77777777" w:rsidR="00E713AC" w:rsidRDefault="00000000">
      <w:pPr>
        <w:pStyle w:val="Heading2"/>
      </w:pPr>
      <w:r>
        <w:t>Note on Glossaries</w:t>
      </w:r>
    </w:p>
    <w:p w14:paraId="612C2303" w14:textId="77777777" w:rsidR="00E713AC" w:rsidRDefault="00000000">
      <w:r>
        <w:t>Glossaries play a vital role in academic writing, particularly in jargon-heavy or interdisciplinary fields like fine art and practice-based research. A well-crafted glossary:</w:t>
      </w:r>
      <w:r>
        <w:br/>
        <w:t>• Demystifies terms for readers across disciplines</w:t>
      </w:r>
      <w:r>
        <w:br/>
        <w:t>• Ensures consistency in how concepts are used throughout a thesis</w:t>
      </w:r>
      <w:r>
        <w:br/>
        <w:t>• Signals scholarly rigor and authority</w:t>
      </w:r>
      <w:r>
        <w:br/>
      </w:r>
      <w:r>
        <w:br/>
        <w:t>Students are strongly encouraged to start compiling a personal glossary as integral research practice from Year 1 onward. This habit:</w:t>
      </w:r>
      <w:r>
        <w:br/>
        <w:t>• Forces clarification of your understanding, defining terms in your own words reveals gaps</w:t>
      </w:r>
      <w:r>
        <w:br/>
        <w:t>• Helps track who said what, when, and in what context</w:t>
      </w:r>
      <w:r>
        <w:br/>
      </w:r>
      <w:r>
        <w:lastRenderedPageBreak/>
        <w:t xml:space="preserve">• Reveals etymology, origins, and semantic change over time (tools like Google </w:t>
      </w:r>
      <w:proofErr w:type="spellStart"/>
      <w:r>
        <w:t>Ngram</w:t>
      </w:r>
      <w:proofErr w:type="spellEnd"/>
      <w:r>
        <w:t xml:space="preserve"> Viewer visualize how usage frequency and meaning shift historically)</w:t>
      </w:r>
      <w:r>
        <w:br/>
        <w:t>• Becomes a living resource for writing, defending at QE/Thesis Defense, and publishing later</w:t>
      </w:r>
      <w:r>
        <w:br/>
      </w:r>
      <w:r>
        <w:br/>
        <w:t>Maintain your personal glossary in a dedicated digital tool (e.g., Notion database with columns for term, definition, first use/source, context/etymology, evolution, your notes) or simple notebook. Update often as you read, encounter new usages, or refine application. By thesis time, you can curate a formal glossary for inclusion (alphabetical, with concise definitions tailored to your project).</w:t>
      </w:r>
      <w:r>
        <w:br/>
      </w:r>
    </w:p>
    <w:p w14:paraId="75481A08" w14:textId="77777777" w:rsidR="00E713AC" w:rsidRDefault="00000000">
      <w:pPr>
        <w:pStyle w:val="Heading2"/>
      </w:pPr>
      <w:r>
        <w:t>Useful Resources</w:t>
      </w:r>
    </w:p>
    <w:p w14:paraId="6A1B8CFB" w14:textId="77777777" w:rsidR="00E713AC" w:rsidRDefault="00000000">
      <w:pPr>
        <w:spacing w:after="0" w:line="240" w:lineRule="auto"/>
      </w:pPr>
      <w:r>
        <w:rPr>
          <w:b/>
          <w:bCs/>
        </w:rPr>
        <w:t>Key Texts on Practice-Based Research:</w:t>
      </w:r>
      <w:r>
        <w:br/>
        <w:t>• Graeme Sullivan, Art Practice as Research: Inquiry in the Visual Arts (SAGE, 2005/2010)</w:t>
      </w:r>
      <w:r>
        <w:br/>
        <w:t>• Estelle Barrett and Barbara Bolt (eds.), Practice as Research: Approaches to Creative Arts Enquiry (I.B. Tauris, 2007/2014)</w:t>
      </w:r>
      <w:r>
        <w:br/>
        <w:t>• Henk Borgdorff, The Conflict of the Faculties: Perspectives on Artistic Research and Academia (Leiden University Press, 2012)</w:t>
      </w:r>
      <w:r>
        <w:br/>
        <w:t>• Patricia Leavy, Method Meets Art: Arts-Based Research Practice (Guilford Press)</w:t>
      </w:r>
      <w:r>
        <w:br/>
        <w:t>• Shaun McNiff, Art-Based Research (1998)</w:t>
      </w:r>
      <w:r>
        <w:br/>
        <w:t>• James Elkins, Artists with PhDs (2014)</w:t>
      </w:r>
      <w:r>
        <w:br/>
        <w:t>• Katy Macleod &amp; Lin Holdridge, Thinking Through Art (2006)</w:t>
      </w:r>
      <w:r>
        <w:br/>
      </w:r>
      <w:r>
        <w:br/>
      </w:r>
      <w:r>
        <w:rPr>
          <w:b/>
          <w:bCs/>
        </w:rPr>
        <w:t>Documentation and Methods:</w:t>
      </w:r>
      <w:r>
        <w:br/>
        <w:t>• Patricia Leavy, Handbook of Arts-Based Research (Guilford Press, 2017)</w:t>
      </w:r>
      <w:r>
        <w:br/>
        <w:t>• Lyle Skains, Designing and Conducting Practice-Based Research Projects (2024)</w:t>
      </w:r>
    </w:p>
    <w:p w14:paraId="3DFC5E90" w14:textId="77777777" w:rsidR="00E713AC" w:rsidRDefault="00000000">
      <w:pPr>
        <w:spacing w:after="0" w:line="240" w:lineRule="auto"/>
      </w:pPr>
      <w:r>
        <w:t>• SAGE Encyclopedia of Qualitative Research Methods (Vols. 1 &amp; 2) (SAGE, 2008)</w:t>
      </w:r>
      <w:r>
        <w:br/>
      </w:r>
      <w:r>
        <w:br/>
      </w:r>
      <w:r>
        <w:rPr>
          <w:b/>
          <w:bCs/>
        </w:rPr>
        <w:t>Reading / Writing:</w:t>
      </w:r>
      <w:r>
        <w:br/>
        <w:t>• Jordan B. Peterson, Essay Writing Guide (2014, free online)</w:t>
      </w:r>
      <w:r>
        <w:br/>
        <w:t>• Mortimer J. Adler and Charles Van Doren, How to Read a Book (1972)</w:t>
      </w:r>
    </w:p>
    <w:p w14:paraId="15C48AF0" w14:textId="77777777" w:rsidR="00E713AC" w:rsidRDefault="00000000">
      <w:pPr>
        <w:spacing w:after="0" w:line="240" w:lineRule="auto"/>
      </w:pPr>
      <w:r>
        <w:t>• Umberto Eco, How to Write a Thesis (MIT Press, 2015; originally published in Italian 1977)</w:t>
      </w:r>
      <w:r>
        <w:br/>
      </w:r>
      <w:r>
        <w:br/>
      </w:r>
      <w:r>
        <w:rPr>
          <w:b/>
          <w:bCs/>
        </w:rPr>
        <w:t>University Resources:</w:t>
      </w:r>
    </w:p>
    <w:p w14:paraId="3012DDC0" w14:textId="77777777" w:rsidR="00E713AC" w:rsidRDefault="00000000">
      <w:pPr>
        <w:spacing w:after="0" w:line="240" w:lineRule="auto"/>
      </w:pPr>
      <w:r>
        <w:t>Most universities provide a range of support services and resources for doctoral students. These typically include:</w:t>
      </w:r>
    </w:p>
    <w:p w14:paraId="5ED1C9F1" w14:textId="77777777" w:rsidR="00E713AC" w:rsidRDefault="00000000">
      <w:pPr>
        <w:spacing w:after="0" w:line="240" w:lineRule="auto"/>
      </w:pPr>
      <w:r>
        <w:t>• Graduate School / Doctoral College: Central hub for regulations, forms, workshops, and guidance on thesis submission and examination procedures.</w:t>
      </w:r>
    </w:p>
    <w:p w14:paraId="313D0F6C" w14:textId="77777777" w:rsidR="00E713AC" w:rsidRDefault="00000000">
      <w:pPr>
        <w:spacing w:after="0" w:line="240" w:lineRule="auto"/>
      </w:pPr>
      <w:r>
        <w:t>• University Library: Research guides, databases, interlibrary loans, and specialist support for literature searches and citation management.</w:t>
      </w:r>
    </w:p>
    <w:p w14:paraId="0E857928" w14:textId="77777777" w:rsidR="00E713AC" w:rsidRDefault="00000000">
      <w:pPr>
        <w:spacing w:after="0" w:line="240" w:lineRule="auto"/>
      </w:pPr>
      <w:r>
        <w:t>• Counseling and Wellness Services: Confidential support for stress, mental health, and wellbeing.</w:t>
      </w:r>
    </w:p>
    <w:p w14:paraId="31859B9E" w14:textId="77777777" w:rsidR="00E713AC" w:rsidRDefault="00000000">
      <w:pPr>
        <w:spacing w:after="0" w:line="240" w:lineRule="auto"/>
      </w:pPr>
      <w:r>
        <w:t>• Student Affairs Office: General student support, including advice on academic and personal matters.</w:t>
      </w:r>
    </w:p>
    <w:p w14:paraId="6DAFDD0E" w14:textId="77777777" w:rsidR="00E713AC" w:rsidRDefault="00000000">
      <w:pPr>
        <w:spacing w:after="0" w:line="240" w:lineRule="auto"/>
      </w:pPr>
      <w:r>
        <w:t>• Department / Faculty Resources: Faculty profiles, research interests, seminars, and discipline-specific guidance.</w:t>
      </w:r>
      <w:r>
        <w:br/>
      </w:r>
      <w:r>
        <w:br/>
      </w:r>
      <w:r>
        <w:rPr>
          <w:b/>
          <w:bCs/>
        </w:rPr>
        <w:t>External Resources:</w:t>
      </w:r>
      <w:r>
        <w:br/>
      </w:r>
      <w:r>
        <w:lastRenderedPageBreak/>
        <w:t>• Chicago Manual of Style Online: chicagomanualofstyle.org</w:t>
      </w:r>
      <w:r>
        <w:br/>
        <w:t>• Purdue OWL: owl.purdue.edu</w:t>
      </w:r>
      <w:r>
        <w:br/>
        <w:t>• Reference management: Zotero, EndNote, Mendeley</w:t>
      </w:r>
      <w:r>
        <w:br/>
      </w:r>
      <w:r>
        <w:br/>
      </w:r>
      <w:r>
        <w:rPr>
          <w:b/>
          <w:bCs/>
        </w:rPr>
        <w:t>Journals for Artist-Researchers:</w:t>
      </w:r>
    </w:p>
    <w:p w14:paraId="0EC04811" w14:textId="77777777" w:rsidR="00E713AC" w:rsidRDefault="00000000">
      <w:pPr>
        <w:spacing w:after="0" w:line="240" w:lineRule="auto"/>
      </w:pPr>
      <w:r>
        <w:t>To build an academic profile (especially for careers in higher education), develop and maintain your own personalized list of journals aligned with your research. Do not rely on generic lists.</w:t>
      </w:r>
    </w:p>
    <w:p w14:paraId="01996FE6" w14:textId="77777777" w:rsidR="00E713AC" w:rsidRDefault="00E713AC">
      <w:pPr>
        <w:spacing w:after="0" w:line="240" w:lineRule="auto"/>
      </w:pPr>
    </w:p>
    <w:p w14:paraId="7666751C" w14:textId="77777777" w:rsidR="00E713AC" w:rsidRDefault="00000000">
      <w:pPr>
        <w:spacing w:after="0"/>
      </w:pPr>
      <w:r>
        <w:t>Essential steps:</w:t>
      </w:r>
    </w:p>
    <w:p w14:paraId="53A7B9F8" w14:textId="77777777" w:rsidR="00E713AC" w:rsidRDefault="00000000">
      <w:pPr>
        <w:spacing w:after="0"/>
      </w:pPr>
      <w:r>
        <w:t>• Review editors and editorial board members for alignment with your work.</w:t>
      </w:r>
    </w:p>
    <w:p w14:paraId="64963BA1" w14:textId="77777777" w:rsidR="00E713AC" w:rsidRDefault="00000000">
      <w:pPr>
        <w:spacing w:after="0"/>
      </w:pPr>
      <w:r>
        <w:t>• Read recent/past issues to assess scope, themes, style, and fit (e.g., how practice-based submissions are handled).</w:t>
      </w:r>
    </w:p>
    <w:p w14:paraId="727A75D6" w14:textId="77777777" w:rsidR="00E713AC" w:rsidRDefault="00000000">
      <w:pPr>
        <w:spacing w:after="0"/>
      </w:pPr>
      <w:r>
        <w:t>• Target journals supportive of artistic/practice-based research.</w:t>
      </w:r>
    </w:p>
    <w:p w14:paraId="5F079797" w14:textId="77777777" w:rsidR="00E713AC" w:rsidRDefault="00E713AC">
      <w:pPr>
        <w:spacing w:after="0"/>
      </w:pPr>
    </w:p>
    <w:p w14:paraId="414F57A5" w14:textId="77777777" w:rsidR="00E713AC" w:rsidRDefault="00000000">
      <w:pPr>
        <w:spacing w:after="0"/>
      </w:pPr>
      <w:r>
        <w:t>Starting examples (expand based on your focus, e.g., contemporary art, digital/generative media, performance)</w:t>
      </w:r>
    </w:p>
    <w:p w14:paraId="1BE21BFA" w14:textId="77777777" w:rsidR="00E713AC" w:rsidRDefault="00000000">
      <w:pPr>
        <w:spacing w:after="0"/>
      </w:pPr>
      <w:r>
        <w:t>• Leonardo (MIT Press) — art, science, technology; ideal for AI/hybrid practices.</w:t>
      </w:r>
    </w:p>
    <w:p w14:paraId="4C5800CA" w14:textId="77777777" w:rsidR="00E713AC" w:rsidRDefault="00000000">
      <w:pPr>
        <w:spacing w:after="0"/>
      </w:pPr>
      <w:r>
        <w:t>• Journal of Artistic Research (JAR) — open-access, practice-based; uses “exposition” format (text + visuals/documentation).</w:t>
      </w:r>
    </w:p>
    <w:p w14:paraId="67231D59" w14:textId="77777777" w:rsidR="00E713AC" w:rsidRDefault="00000000">
      <w:pPr>
        <w:spacing w:after="0"/>
      </w:pPr>
      <w:r>
        <w:t>• Art Journal (College Art Association) — critical reflections on contemporary practice.</w:t>
      </w:r>
    </w:p>
    <w:p w14:paraId="4929C29D" w14:textId="77777777" w:rsidR="00E713AC" w:rsidRDefault="00000000">
      <w:pPr>
        <w:spacing w:after="0"/>
      </w:pPr>
      <w:r>
        <w:t>• Performance Research — performative/experimental work.</w:t>
      </w:r>
    </w:p>
    <w:p w14:paraId="621BCE5C" w14:textId="77777777" w:rsidR="00E713AC" w:rsidRDefault="00000000">
      <w:pPr>
        <w:spacing w:after="0"/>
      </w:pPr>
      <w:r>
        <w:t>• Visual Studies — visual culture and semiotics.</w:t>
      </w:r>
    </w:p>
    <w:p w14:paraId="5FC88AA5" w14:textId="77777777" w:rsidR="00E713AC" w:rsidRDefault="00E713AC">
      <w:pPr>
        <w:spacing w:after="0"/>
      </w:pPr>
    </w:p>
    <w:p w14:paraId="2B7BB302" w14:textId="77777777" w:rsidR="00E713AC" w:rsidRDefault="00000000">
      <w:r>
        <w:t>Include regional / Asia-Pacific options for contextual relevance. Discuss your list with your supervisor in Years 2–3 and aim for at least one submission during/after thesis work.</w:t>
      </w:r>
    </w:p>
    <w:p w14:paraId="438F301D" w14:textId="77777777" w:rsidR="00E713AC" w:rsidRDefault="00E713AC"/>
    <w:p w14:paraId="6735A0F3" w14:textId="77777777" w:rsidR="00E713AC" w:rsidRDefault="00000000">
      <w:r>
        <w:rPr>
          <w:i/>
        </w:rPr>
        <w:t>This guidebook is a living document designed to evolve with student feedback and program development. Your insights and suggestions are invaluable for improving future versions. Please share constructive feedback with the author.</w:t>
      </w:r>
    </w:p>
    <w:p w14:paraId="0F6C7102" w14:textId="77777777" w:rsidR="00E713AC" w:rsidRDefault="00E713AC"/>
    <w:p w14:paraId="4E380E53" w14:textId="77777777" w:rsidR="00E713AC" w:rsidRDefault="00E713AC"/>
    <w:p w14:paraId="578A739F" w14:textId="77777777" w:rsidR="00E713AC" w:rsidRDefault="00000000">
      <w:pPr>
        <w:rPr>
          <w:rFonts w:eastAsia="PMingLiU"/>
          <w:lang w:eastAsia="zh-TW"/>
        </w:rPr>
      </w:pPr>
      <w:r>
        <w:rPr>
          <w:rFonts w:eastAsia="PMingLiU" w:hint="eastAsia"/>
          <w:lang w:eastAsia="zh-TW"/>
        </w:rPr>
        <w:t>Gui</w:t>
      </w:r>
      <w:r>
        <w:rPr>
          <w:rFonts w:eastAsia="PMingLiU"/>
          <w:lang w:eastAsia="zh-TW"/>
        </w:rPr>
        <w:t>debook-</w:t>
      </w:r>
      <w:r>
        <w:rPr>
          <w:rFonts w:eastAsia="PMingLiU" w:hint="eastAsia"/>
          <w:lang w:eastAsia="zh-TW"/>
        </w:rPr>
        <w:t>指南？手冊？</w:t>
      </w:r>
    </w:p>
    <w:p w14:paraId="7582830F" w14:textId="77777777" w:rsidR="00E713AC" w:rsidRDefault="00000000">
      <w:pPr>
        <w:rPr>
          <w:rFonts w:eastAsia="PMingLiU"/>
          <w:lang w:eastAsia="zh-TW"/>
        </w:rPr>
      </w:pPr>
      <w:r>
        <w:rPr>
          <w:rFonts w:eastAsia="PMingLiU" w:hint="eastAsia"/>
          <w:lang w:eastAsia="zh-TW"/>
        </w:rPr>
        <w:t>TPA</w:t>
      </w:r>
      <w:r>
        <w:rPr>
          <w:rFonts w:eastAsia="PMingLiU"/>
          <w:lang w:eastAsia="zh-TW"/>
        </w:rPr>
        <w:t>-</w:t>
      </w:r>
      <w:proofErr w:type="spellStart"/>
      <w:r>
        <w:rPr>
          <w:rFonts w:eastAsia="PMingLiU" w:hint="eastAsia"/>
        </w:rPr>
        <w:t>論文提案評</w:t>
      </w:r>
      <w:proofErr w:type="spellEnd"/>
      <w:r>
        <w:rPr>
          <w:rFonts w:eastAsia="PMingLiU" w:hint="eastAsia"/>
          <w:lang w:eastAsia="zh-TW"/>
        </w:rPr>
        <w:t>估？開題？開題答辯？</w:t>
      </w:r>
    </w:p>
    <w:p w14:paraId="2AEAD0A9" w14:textId="77777777" w:rsidR="00E713AC" w:rsidRDefault="00000000">
      <w:pPr>
        <w:rPr>
          <w:rFonts w:eastAsia="PMingLiU"/>
          <w:lang w:eastAsia="zh-TW"/>
        </w:rPr>
      </w:pPr>
      <w:r>
        <w:rPr>
          <w:rFonts w:eastAsia="PMingLiU" w:hint="eastAsia"/>
          <w:lang w:eastAsia="zh-TW"/>
        </w:rPr>
        <w:t>Pub</w:t>
      </w:r>
      <w:r>
        <w:rPr>
          <w:rFonts w:eastAsia="PMingLiU"/>
          <w:lang w:eastAsia="zh-TW"/>
        </w:rPr>
        <w:t>lish-</w:t>
      </w:r>
      <w:r>
        <w:rPr>
          <w:rFonts w:eastAsia="PMingLiU" w:hint="eastAsia"/>
          <w:lang w:eastAsia="zh-TW"/>
        </w:rPr>
        <w:t>出版？發表？</w:t>
      </w:r>
    </w:p>
    <w:p w14:paraId="0D53A0C4" w14:textId="77777777" w:rsidR="00E713AC" w:rsidRDefault="00000000">
      <w:pPr>
        <w:rPr>
          <w:rFonts w:eastAsia="PMingLiU"/>
          <w:lang w:eastAsia="zh-TW"/>
        </w:rPr>
      </w:pPr>
      <w:r>
        <w:rPr>
          <w:rFonts w:eastAsia="PMingLiU" w:hint="eastAsia"/>
          <w:lang w:eastAsia="zh-TW"/>
        </w:rPr>
        <w:t>mid-</w:t>
      </w:r>
      <w:proofErr w:type="spellStart"/>
      <w:r>
        <w:rPr>
          <w:rFonts w:eastAsia="PMingLiU" w:hint="eastAsia"/>
          <w:lang w:eastAsia="zh-TW"/>
        </w:rPr>
        <w:t>programme</w:t>
      </w:r>
      <w:proofErr w:type="spellEnd"/>
      <w:r>
        <w:rPr>
          <w:rFonts w:eastAsia="PMingLiU" w:hint="eastAsia"/>
          <w:lang w:eastAsia="zh-TW"/>
        </w:rPr>
        <w:t xml:space="preserve"> proposal review -</w:t>
      </w:r>
      <w:r>
        <w:rPr>
          <w:rFonts w:eastAsia="PMingLiU" w:hint="eastAsia"/>
          <w:lang w:eastAsia="zh-TW"/>
        </w:rPr>
        <w:t>中期研究計劃評估？</w:t>
      </w:r>
    </w:p>
    <w:p w14:paraId="5C4B299C" w14:textId="77777777" w:rsidR="00E713AC" w:rsidRDefault="00000000">
      <w:pPr>
        <w:rPr>
          <w:rFonts w:eastAsia="PMingLiU"/>
          <w:lang w:eastAsia="zh-TW"/>
        </w:rPr>
      </w:pPr>
      <w:r>
        <w:rPr>
          <w:rFonts w:eastAsia="PMingLiU" w:hint="eastAsia"/>
          <w:lang w:eastAsia="zh-TW"/>
        </w:rPr>
        <w:t>Practice-Based Thesis -</w:t>
      </w:r>
      <w:r>
        <w:rPr>
          <w:rFonts w:eastAsia="PMingLiU" w:hint="eastAsia"/>
          <w:lang w:eastAsia="zh-TW"/>
        </w:rPr>
        <w:t>基於實踐的論文</w:t>
      </w:r>
      <w:r>
        <w:rPr>
          <w:rFonts w:eastAsia="PMingLiU" w:hint="eastAsia"/>
          <w:lang w:eastAsia="zh-TW"/>
        </w:rPr>
        <w:t>/</w:t>
      </w:r>
      <w:r>
        <w:rPr>
          <w:rFonts w:eastAsia="PMingLiU" w:hint="eastAsia"/>
          <w:lang w:eastAsia="zh-TW"/>
        </w:rPr>
        <w:t>實踐型論文</w:t>
      </w:r>
      <w:r>
        <w:rPr>
          <w:rFonts w:eastAsia="PMingLiU" w:hint="eastAsia"/>
          <w:lang w:eastAsia="zh-TW"/>
        </w:rPr>
        <w:t>/</w:t>
      </w:r>
      <w:r>
        <w:rPr>
          <w:rFonts w:eastAsia="PMingLiU" w:hint="eastAsia"/>
          <w:lang w:eastAsia="zh-TW"/>
        </w:rPr>
        <w:t>藝術實踐型論文？</w:t>
      </w:r>
    </w:p>
    <w:p w14:paraId="4A883E88" w14:textId="77777777" w:rsidR="00E713AC" w:rsidRDefault="00000000">
      <w:pPr>
        <w:pStyle w:val="CommentText"/>
        <w:rPr>
          <w:rFonts w:eastAsia="PMingLiU"/>
          <w:lang w:eastAsia="zh-TW"/>
        </w:rPr>
      </w:pPr>
      <w:r>
        <w:t>The oral defense</w:t>
      </w:r>
      <w:r>
        <w:rPr>
          <w:rFonts w:eastAsia="PMingLiU" w:hint="eastAsia"/>
          <w:lang w:eastAsia="zh-TW"/>
        </w:rPr>
        <w:t>-</w:t>
      </w:r>
      <w:r>
        <w:rPr>
          <w:rFonts w:eastAsia="PMingLiU" w:hint="eastAsia"/>
          <w:lang w:eastAsia="zh-TW"/>
        </w:rPr>
        <w:t>最終答辯？畢業答辯？論文答辯？</w:t>
      </w:r>
    </w:p>
    <w:p w14:paraId="67D3C0B8" w14:textId="77777777" w:rsidR="00E713AC" w:rsidRDefault="00000000">
      <w:pPr>
        <w:pStyle w:val="CommentText"/>
        <w:rPr>
          <w:rFonts w:eastAsia="PMingLiU"/>
          <w:lang w:eastAsia="zh-TW"/>
        </w:rPr>
      </w:pPr>
      <w:r>
        <w:rPr>
          <w:lang w:val="zh-CN" w:eastAsia="ja-JP"/>
        </w:rPr>
        <w:lastRenderedPageBreak/>
        <w:t>Supervisor</w:t>
      </w:r>
      <w:r>
        <w:rPr>
          <w:rFonts w:eastAsia="PMingLiU" w:hint="eastAsia"/>
          <w:lang w:eastAsia="zh-TW"/>
        </w:rPr>
        <w:t>-</w:t>
      </w:r>
      <w:r>
        <w:rPr>
          <w:rFonts w:eastAsia="PMingLiU" w:hint="eastAsia"/>
          <w:lang w:eastAsia="zh-TW"/>
        </w:rPr>
        <w:t>指導教授？導師？</w:t>
      </w:r>
    </w:p>
    <w:p w14:paraId="41954077" w14:textId="77777777" w:rsidR="00E713AC" w:rsidRDefault="00000000">
      <w:pPr>
        <w:pStyle w:val="CommentText"/>
        <w:rPr>
          <w:rFonts w:eastAsia="PMingLiU"/>
          <w:lang w:eastAsia="zh-TW"/>
        </w:rPr>
      </w:pPr>
      <w:r>
        <w:rPr>
          <w:lang w:val="zh-CN" w:eastAsia="ja-JP"/>
        </w:rPr>
        <w:t>non-traditional sources: catalogues, artist writings</w:t>
      </w:r>
      <w:r>
        <w:rPr>
          <w:rFonts w:eastAsia="PMingLiU" w:hint="eastAsia"/>
          <w:lang w:eastAsia="zh-TW"/>
        </w:rPr>
        <w:t>-</w:t>
      </w:r>
      <w:r>
        <w:rPr>
          <w:rFonts w:asciiTheme="minorHAnsi" w:hAnsiTheme="minorHAnsi"/>
          <w:kern w:val="2"/>
          <w:lang w:eastAsia="zh-CN"/>
          <w14:ligatures w14:val="standardContextual"/>
        </w:rPr>
        <w:t>非傳統來源：</w:t>
      </w:r>
      <w:r>
        <w:rPr>
          <w:rFonts w:eastAsia="PMingLiU" w:hint="eastAsia"/>
          <w:lang w:eastAsia="zh-TW"/>
        </w:rPr>
        <w:t>展覽目錄</w:t>
      </w:r>
      <w:r>
        <w:rPr>
          <w:rFonts w:eastAsia="PMingLiU" w:hint="eastAsia"/>
          <w:lang w:eastAsia="zh-TW"/>
        </w:rPr>
        <w:t>/</w:t>
      </w:r>
      <w:r>
        <w:rPr>
          <w:rFonts w:eastAsia="PMingLiU" w:hint="eastAsia"/>
          <w:lang w:eastAsia="zh-TW"/>
        </w:rPr>
        <w:t>展覽冊？藝術家寫作</w:t>
      </w:r>
      <w:r>
        <w:rPr>
          <w:rFonts w:eastAsia="PMingLiU" w:hint="eastAsia"/>
          <w:lang w:eastAsia="zh-TW"/>
        </w:rPr>
        <w:t>/</w:t>
      </w:r>
      <w:r>
        <w:rPr>
          <w:rFonts w:eastAsia="PMingLiU" w:hint="eastAsia"/>
          <w:lang w:eastAsia="zh-TW"/>
        </w:rPr>
        <w:t>書寫？</w:t>
      </w:r>
    </w:p>
    <w:p w14:paraId="15D6E51B" w14:textId="77777777" w:rsidR="00E713AC" w:rsidRDefault="00000000">
      <w:pPr>
        <w:pStyle w:val="CommentText"/>
        <w:rPr>
          <w:rFonts w:eastAsia="PMingLiU"/>
          <w:lang w:eastAsia="zh-TW"/>
        </w:rPr>
      </w:pPr>
      <w:r>
        <w:rPr>
          <w:rFonts w:asciiTheme="minorHAnsi" w:hAnsiTheme="minorHAnsi"/>
          <w:b/>
          <w:bCs/>
          <w:kern w:val="2"/>
          <w:lang w:eastAsia="zh-CN"/>
          <w14:ligatures w14:val="standardContextual"/>
        </w:rPr>
        <w:t>Bibliography</w:t>
      </w:r>
      <w:r>
        <w:rPr>
          <w:rFonts w:asciiTheme="minorHAnsi" w:eastAsia="PMingLiU" w:hAnsiTheme="minorHAnsi" w:hint="eastAsia"/>
          <w:b/>
          <w:bCs/>
          <w:kern w:val="2"/>
          <w:lang w:eastAsia="zh-TW"/>
          <w14:ligatures w14:val="standardContextual"/>
        </w:rPr>
        <w:t>-</w:t>
      </w:r>
      <w:r>
        <w:rPr>
          <w:rFonts w:eastAsia="PMingLiU" w:hint="eastAsia"/>
          <w:lang w:eastAsia="zh-TW"/>
        </w:rPr>
        <w:t>參考來源</w:t>
      </w:r>
      <w:r>
        <w:rPr>
          <w:rFonts w:eastAsia="PMingLiU" w:hint="eastAsia"/>
          <w:lang w:eastAsia="zh-TW"/>
        </w:rPr>
        <w:t>/</w:t>
      </w:r>
      <w:r>
        <w:rPr>
          <w:rFonts w:eastAsia="PMingLiU" w:hint="eastAsia"/>
          <w:lang w:eastAsia="zh-TW"/>
        </w:rPr>
        <w:t>參考文獻總目？</w:t>
      </w:r>
    </w:p>
    <w:p w14:paraId="70200869" w14:textId="77777777" w:rsidR="00E713AC" w:rsidRDefault="00000000">
      <w:pPr>
        <w:pStyle w:val="NormalWeb"/>
        <w:spacing w:before="0" w:beforeAutospacing="0" w:afterAutospacing="0"/>
        <w:rPr>
          <w:rFonts w:cstheme="minorBidi"/>
          <w:kern w:val="2"/>
          <w:sz w:val="22"/>
          <w:szCs w:val="22"/>
          <w:lang w:val="en-US"/>
          <w14:ligatures w14:val="standardContextual"/>
        </w:rPr>
      </w:pPr>
      <w:r>
        <w:t>submissions include exposition (text + visuals/documentation)</w:t>
      </w:r>
      <w:r>
        <w:rPr>
          <w:rFonts w:eastAsia="PMingLiU" w:hint="eastAsia"/>
          <w:lang w:val="en-US"/>
        </w:rPr>
        <w:t>-</w:t>
      </w:r>
      <w:proofErr w:type="spellStart"/>
      <w:r>
        <w:rPr>
          <w:rFonts w:cstheme="minorBidi" w:hint="eastAsia"/>
          <w:kern w:val="2"/>
          <w:sz w:val="22"/>
          <w:szCs w:val="22"/>
          <w:lang w:val="en-US"/>
          <w14:ligatures w14:val="standardContextual"/>
        </w:rPr>
        <w:t>以</w:t>
      </w:r>
      <w:r>
        <w:rPr>
          <w:rFonts w:cstheme="minorBidi"/>
          <w:kern w:val="2"/>
          <w:sz w:val="22"/>
          <w:szCs w:val="22"/>
          <w:lang w:val="en-US"/>
          <w14:ligatures w14:val="standardContextual"/>
        </w:rPr>
        <w:t>「闡述」</w:t>
      </w:r>
      <w:r>
        <w:rPr>
          <w:rFonts w:cstheme="minorBidi" w:hint="eastAsia"/>
          <w:kern w:val="2"/>
          <w:sz w:val="22"/>
          <w:szCs w:val="22"/>
          <w:lang w:val="en-US"/>
          <w14:ligatures w14:val="standardContextual"/>
        </w:rPr>
        <w:t>格式</w:t>
      </w:r>
      <w:r>
        <w:rPr>
          <w:rFonts w:cstheme="minorBidi"/>
          <w:kern w:val="2"/>
          <w:sz w:val="22"/>
          <w:szCs w:val="22"/>
          <w:lang w:val="en-US"/>
          <w14:ligatures w14:val="standardContextual"/>
        </w:rPr>
        <w:t>（</w:t>
      </w:r>
      <w:r>
        <w:rPr>
          <w:rFonts w:cstheme="minorBidi" w:hint="eastAsia"/>
          <w:kern w:val="2"/>
          <w:sz w:val="22"/>
          <w:szCs w:val="22"/>
          <w:lang w:val="en-US"/>
          <w14:ligatures w14:val="standardContextual"/>
        </w:rPr>
        <w:t>Exposition</w:t>
      </w:r>
      <w:proofErr w:type="spellEnd"/>
      <w:r>
        <w:rPr>
          <w:rFonts w:cstheme="minorBidi"/>
          <w:kern w:val="2"/>
          <w:sz w:val="22"/>
          <w:szCs w:val="22"/>
          <w:lang w:val="en-US"/>
          <w14:ligatures w14:val="standardContextual"/>
        </w:rPr>
        <w:t xml:space="preserve">, </w:t>
      </w:r>
      <w:proofErr w:type="spellStart"/>
      <w:r>
        <w:rPr>
          <w:rFonts w:cstheme="minorBidi" w:hint="eastAsia"/>
          <w:kern w:val="2"/>
          <w:sz w:val="22"/>
          <w:szCs w:val="22"/>
          <w:lang w:val="en-US"/>
          <w14:ligatures w14:val="standardContextual"/>
        </w:rPr>
        <w:t>文本</w:t>
      </w:r>
      <w:r>
        <w:rPr>
          <w:rFonts w:cstheme="minorBidi"/>
          <w:kern w:val="2"/>
          <w:sz w:val="22"/>
          <w:szCs w:val="22"/>
          <w:lang w:val="en-US"/>
          <w14:ligatures w14:val="standardContextual"/>
        </w:rPr>
        <w:t>＋</w:t>
      </w:r>
      <w:r>
        <w:rPr>
          <w:rFonts w:cstheme="minorBidi" w:hint="eastAsia"/>
          <w:kern w:val="2"/>
          <w:sz w:val="22"/>
          <w:szCs w:val="22"/>
          <w:lang w:val="en-US"/>
          <w14:ligatures w14:val="standardContextual"/>
        </w:rPr>
        <w:t>視覺材料</w:t>
      </w:r>
      <w:r>
        <w:rPr>
          <w:rFonts w:cstheme="minorBidi"/>
          <w:kern w:val="2"/>
          <w:sz w:val="22"/>
          <w:szCs w:val="22"/>
          <w:lang w:val="en-US"/>
          <w14:ligatures w14:val="standardContextual"/>
        </w:rPr>
        <w:t>／</w:t>
      </w:r>
      <w:r>
        <w:rPr>
          <w:rFonts w:cstheme="minorBidi" w:hint="eastAsia"/>
          <w:kern w:val="2"/>
          <w:sz w:val="22"/>
          <w:szCs w:val="22"/>
          <w:lang w:val="en-US"/>
          <w14:ligatures w14:val="standardContextual"/>
        </w:rPr>
        <w:t>記錄</w:t>
      </w:r>
      <w:r>
        <w:rPr>
          <w:rFonts w:cstheme="minorBidi"/>
          <w:kern w:val="2"/>
          <w:sz w:val="22"/>
          <w:szCs w:val="22"/>
          <w:lang w:val="en-US"/>
          <w14:ligatures w14:val="standardContextual"/>
        </w:rPr>
        <w:t>）</w:t>
      </w:r>
      <w:r>
        <w:rPr>
          <w:rFonts w:cstheme="minorBidi" w:hint="eastAsia"/>
          <w:kern w:val="2"/>
          <w:sz w:val="22"/>
          <w:szCs w:val="22"/>
          <w:lang w:val="en-US"/>
          <w14:ligatures w14:val="standardContextual"/>
        </w:rPr>
        <w:t>投稿</w:t>
      </w:r>
      <w:proofErr w:type="spellEnd"/>
      <w:r>
        <w:rPr>
          <w:rFonts w:cstheme="minorBidi" w:hint="eastAsia"/>
          <w:kern w:val="2"/>
          <w:sz w:val="22"/>
          <w:szCs w:val="22"/>
          <w:lang w:val="en-US"/>
          <w14:ligatures w14:val="standardContextual"/>
        </w:rPr>
        <w:t>？</w:t>
      </w:r>
    </w:p>
    <w:p w14:paraId="17EF888D" w14:textId="77777777" w:rsidR="00E713AC" w:rsidRDefault="00000000">
      <w:pPr>
        <w:pStyle w:val="NormalWeb"/>
        <w:spacing w:before="0" w:beforeAutospacing="0" w:afterAutospacing="0"/>
        <w:rPr>
          <w:rFonts w:cstheme="minorBidi"/>
          <w:kern w:val="2"/>
          <w:sz w:val="22"/>
          <w:szCs w:val="22"/>
          <w:lang w:val="en-US"/>
          <w14:ligatures w14:val="standardContextual"/>
        </w:rPr>
      </w:pPr>
      <w:r>
        <w:rPr>
          <w:lang w:eastAsia="ja-JP"/>
        </w:rPr>
        <w:t>Gaps</w:t>
      </w:r>
      <w:r>
        <w:rPr>
          <w:rFonts w:eastAsia="PMingLiU" w:hint="eastAsia"/>
          <w:lang w:val="en-US"/>
        </w:rPr>
        <w:t>-</w:t>
      </w:r>
      <w:r>
        <w:rPr>
          <w:rFonts w:eastAsia="PMingLiU" w:hint="eastAsia"/>
          <w:lang w:val="en-US"/>
        </w:rPr>
        <w:t>研究空白？研究缺口？</w:t>
      </w:r>
    </w:p>
    <w:p w14:paraId="5B564BFC" w14:textId="77777777" w:rsidR="00E713AC" w:rsidRDefault="00000000">
      <w:pPr>
        <w:rPr>
          <w:rFonts w:ascii="Microsoft JhengHei" w:eastAsia="PMingLiU" w:hAnsi="Microsoft JhengHei" w:cs="Microsoft JhengHei"/>
          <w:b/>
          <w:bCs/>
          <w:color w:val="C00000"/>
          <w:lang w:eastAsia="zh-TW"/>
        </w:rPr>
      </w:pPr>
      <w:r>
        <w:br/>
      </w:r>
    </w:p>
    <w:p w14:paraId="18ADD652" w14:textId="77777777" w:rsidR="00E713AC" w:rsidRDefault="00E713AC">
      <w:pPr>
        <w:rPr>
          <w:rFonts w:ascii="Microsoft JhengHei" w:eastAsia="PMingLiU" w:hAnsi="Microsoft JhengHei" w:cs="Microsoft JhengHei"/>
          <w:b/>
          <w:bCs/>
          <w:color w:val="C00000"/>
          <w:lang w:eastAsia="zh-TW"/>
        </w:rPr>
      </w:pPr>
    </w:p>
    <w:p w14:paraId="6003BE1C" w14:textId="77777777" w:rsidR="00E713AC" w:rsidRDefault="00E713AC">
      <w:pPr>
        <w:rPr>
          <w:rFonts w:eastAsia="PMingLiU"/>
          <w:lang w:eastAsia="zh-TW"/>
        </w:rPr>
      </w:pPr>
    </w:p>
    <w:p w14:paraId="0AA12C77" w14:textId="77777777" w:rsidR="00E713AC" w:rsidRDefault="00E713AC"/>
    <w:p w14:paraId="6433811C" w14:textId="77777777" w:rsidR="00E713AC" w:rsidRDefault="00E713AC"/>
    <w:p w14:paraId="26ECEBA3" w14:textId="77777777" w:rsidR="00E713AC" w:rsidRDefault="00E713AC"/>
    <w:sectPr w:rsidR="00E713A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3F6D6" w14:textId="77777777" w:rsidR="007B60EC" w:rsidRDefault="007B60EC">
      <w:pPr>
        <w:spacing w:line="240" w:lineRule="auto"/>
      </w:pPr>
      <w:r>
        <w:separator/>
      </w:r>
    </w:p>
  </w:endnote>
  <w:endnote w:type="continuationSeparator" w:id="0">
    <w:p w14:paraId="1A256762" w14:textId="77777777" w:rsidR="007B60EC" w:rsidRDefault="007B60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DengXian Light">
    <w:panose1 w:val="02010600030101010101"/>
    <w:charset w:val="86"/>
    <w:family w:val="auto"/>
    <w:pitch w:val="variable"/>
    <w:sig w:usb0="A00002BF" w:usb1="38CF7CFA" w:usb2="00000016" w:usb3="00000000" w:csb0="0004000F" w:csb1="00000000"/>
  </w:font>
  <w:font w:name="Yu Gothic Light">
    <w:altName w:val="游ゴシック Light"/>
    <w:panose1 w:val="020B0300000000000000"/>
    <w:charset w:val="80"/>
    <w:family w:val="swiss"/>
    <w:pitch w:val="variable"/>
    <w:sig w:usb0="E00002FF" w:usb1="2AC7FDFF" w:usb2="00000016"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rial Regular">
    <w:altName w:val="Arial"/>
    <w:panose1 w:val="020B0604020202020204"/>
    <w:charset w:val="00"/>
    <w:family w:val="auto"/>
    <w:pitch w:val="default"/>
    <w:sig w:usb0="E0000AFF" w:usb1="00007843" w:usb2="00000001" w:usb3="00000000" w:csb0="400001BF" w:csb1="DFF70000"/>
  </w:font>
  <w:font w:name="SimHei">
    <w:altName w:val="黑体"/>
    <w:panose1 w:val="02010609060101010101"/>
    <w:charset w:val="86"/>
    <w:family w:val="modern"/>
    <w:pitch w:val="fixed"/>
    <w:sig w:usb0="800002BF" w:usb1="38CF7CFA" w:usb2="00000016" w:usb3="00000000" w:csb0="00040001" w:csb1="00000000"/>
  </w:font>
  <w:font w:name="Arial Bold">
    <w:altName w:val="Arial"/>
    <w:panose1 w:val="020B0604020202020204"/>
    <w:charset w:val="00"/>
    <w:family w:val="auto"/>
    <w:pitch w:val="default"/>
    <w:sig w:usb0="E0000AFF" w:usb1="00007843" w:usb2="00000001" w:usb3="00000000" w:csb0="400001BF" w:csb1="DFF70000"/>
  </w:font>
  <w:font w:name="PMingLiU">
    <w:altName w:val="新細明體"/>
    <w:panose1 w:val="02020500000000000000"/>
    <w:charset w:val="88"/>
    <w:family w:val="roman"/>
    <w:pitch w:val="variable"/>
    <w:sig w:usb0="A00002FF" w:usb1="28CFFCFA" w:usb2="00000016" w:usb3="00000000" w:csb0="00100001" w:csb1="00000000"/>
  </w:font>
  <w:font w:name="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F150E" w14:textId="77777777" w:rsidR="007B60EC" w:rsidRDefault="007B60EC">
      <w:pPr>
        <w:spacing w:after="0"/>
      </w:pPr>
      <w:r>
        <w:separator/>
      </w:r>
    </w:p>
  </w:footnote>
  <w:footnote w:type="continuationSeparator" w:id="0">
    <w:p w14:paraId="71F964C9" w14:textId="77777777" w:rsidR="007B60EC" w:rsidRDefault="007B60E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DD71B6E"/>
    <w:multiLevelType w:val="multilevel"/>
    <w:tmpl w:val="FDD71B6E"/>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num w:numId="1" w16cid:durableId="421492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FC9"/>
    <w:rsid w:val="00101CEE"/>
    <w:rsid w:val="00145422"/>
    <w:rsid w:val="00211FD6"/>
    <w:rsid w:val="0033162B"/>
    <w:rsid w:val="00350616"/>
    <w:rsid w:val="003703AD"/>
    <w:rsid w:val="00695E14"/>
    <w:rsid w:val="007B60EC"/>
    <w:rsid w:val="0080405D"/>
    <w:rsid w:val="00841B0F"/>
    <w:rsid w:val="00866418"/>
    <w:rsid w:val="008E6049"/>
    <w:rsid w:val="00955FC9"/>
    <w:rsid w:val="00C56F86"/>
    <w:rsid w:val="00DF0A3D"/>
    <w:rsid w:val="00E713AC"/>
    <w:rsid w:val="00FF13C4"/>
    <w:rsid w:val="5AF06E67"/>
    <w:rsid w:val="6DFFB2FA"/>
    <w:rsid w:val="7DDB751F"/>
    <w:rsid w:val="7EF3102A"/>
    <w:rsid w:val="7FFF6488"/>
    <w:rsid w:val="95FF320F"/>
    <w:rsid w:val="9F5D0F07"/>
    <w:rsid w:val="DFF6AAB7"/>
    <w:rsid w:val="E6FFCD9C"/>
    <w:rsid w:val="EBDFA4CA"/>
    <w:rsid w:val="F79F8EBC"/>
  </w:rsids>
  <m:mathPr>
    <m:mathFont m:val="Cambria Math"/>
    <m:brkBin m:val="before"/>
    <m:brkBinSub m:val="--"/>
    <m:smallFrac m:val="0"/>
    <m:dispDef/>
    <m:lMargin m:val="0"/>
    <m:rMargin m:val="0"/>
    <m:defJc m:val="centerGroup"/>
    <m:wrapIndent m:val="1440"/>
    <m:intLim m:val="subSup"/>
    <m:naryLim m:val="undOvr"/>
  </m:mathPr>
  <w:themeFontLang w:val="zh-CN"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475B988F"/>
  <w15:docId w15:val="{8FB73ABE-3E15-7D43-85BD-F0C4FFD38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JP"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Arial" w:eastAsiaTheme="minorEastAsia" w:hAnsi="Arial" w:cstheme="minorBidi"/>
      <w:sz w:val="22"/>
      <w:szCs w:val="22"/>
      <w:lang w:val="en-US" w:eastAsia="en-US"/>
    </w:rPr>
  </w:style>
  <w:style w:type="paragraph" w:styleId="Heading1">
    <w:name w:val="heading 1"/>
    <w:basedOn w:val="Normal"/>
    <w:next w:val="Normal"/>
    <w:link w:val="Heading1Char"/>
    <w:uiPriority w:val="9"/>
    <w:qFormat/>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lang w:val="zh-CN" w:eastAsia="ja-JP"/>
      <w14:ligatures w14:val="standardContextual"/>
    </w:rPr>
  </w:style>
  <w:style w:type="paragraph" w:styleId="Heading2">
    <w:name w:val="heading 2"/>
    <w:basedOn w:val="Normal"/>
    <w:next w:val="Normal"/>
    <w:link w:val="Heading2Char"/>
    <w:uiPriority w:val="9"/>
    <w:unhideWhenUsed/>
    <w:qFormat/>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lang w:val="zh-CN" w:eastAsia="ja-JP"/>
      <w14:ligatures w14:val="standardContextual"/>
    </w:rPr>
  </w:style>
  <w:style w:type="paragraph" w:styleId="Heading3">
    <w:name w:val="heading 3"/>
    <w:basedOn w:val="Normal"/>
    <w:next w:val="Normal"/>
    <w:link w:val="Heading3Char"/>
    <w:uiPriority w:val="9"/>
    <w:semiHidden/>
    <w:unhideWhenUsed/>
    <w:qFormat/>
    <w:pPr>
      <w:keepNext/>
      <w:keepLines/>
      <w:spacing w:before="160" w:after="80" w:line="240" w:lineRule="auto"/>
      <w:outlineLvl w:val="2"/>
    </w:pPr>
    <w:rPr>
      <w:rFonts w:asciiTheme="minorHAnsi" w:eastAsiaTheme="majorEastAsia" w:hAnsiTheme="minorHAnsi" w:cstheme="majorBidi"/>
      <w:color w:val="0F4761" w:themeColor="accent1" w:themeShade="BF"/>
      <w:kern w:val="2"/>
      <w:sz w:val="28"/>
      <w:szCs w:val="28"/>
      <w:lang w:val="zh-CN" w:eastAsia="ja-JP"/>
      <w14:ligatures w14:val="standardContextual"/>
    </w:rPr>
  </w:style>
  <w:style w:type="paragraph" w:styleId="Heading4">
    <w:name w:val="heading 4"/>
    <w:basedOn w:val="Normal"/>
    <w:next w:val="Normal"/>
    <w:link w:val="Heading4Char"/>
    <w:uiPriority w:val="9"/>
    <w:semiHidden/>
    <w:unhideWhenUsed/>
    <w:qFormat/>
    <w:pPr>
      <w:keepNext/>
      <w:keepLines/>
      <w:spacing w:before="80" w:after="40" w:line="240" w:lineRule="auto"/>
      <w:outlineLvl w:val="3"/>
    </w:pPr>
    <w:rPr>
      <w:rFonts w:asciiTheme="minorHAnsi" w:eastAsiaTheme="majorEastAsia" w:hAnsiTheme="minorHAnsi" w:cstheme="majorBidi"/>
      <w:i/>
      <w:iCs/>
      <w:color w:val="0F4761" w:themeColor="accent1" w:themeShade="BF"/>
      <w:kern w:val="2"/>
      <w:sz w:val="24"/>
      <w:szCs w:val="24"/>
      <w:lang w:val="zh-CN" w:eastAsia="ja-JP"/>
      <w14:ligatures w14:val="standardContextual"/>
    </w:rPr>
  </w:style>
  <w:style w:type="paragraph" w:styleId="Heading5">
    <w:name w:val="heading 5"/>
    <w:basedOn w:val="Normal"/>
    <w:next w:val="Normal"/>
    <w:link w:val="Heading5Char"/>
    <w:uiPriority w:val="9"/>
    <w:semiHidden/>
    <w:unhideWhenUsed/>
    <w:qFormat/>
    <w:pPr>
      <w:keepNext/>
      <w:keepLines/>
      <w:spacing w:before="80" w:after="40" w:line="240" w:lineRule="auto"/>
      <w:outlineLvl w:val="4"/>
    </w:pPr>
    <w:rPr>
      <w:rFonts w:asciiTheme="minorHAnsi" w:eastAsiaTheme="majorEastAsia" w:hAnsiTheme="minorHAnsi" w:cstheme="majorBidi"/>
      <w:color w:val="0F4761" w:themeColor="accent1" w:themeShade="BF"/>
      <w:kern w:val="2"/>
      <w:sz w:val="24"/>
      <w:szCs w:val="24"/>
      <w:lang w:val="zh-CN" w:eastAsia="ja-JP"/>
      <w14:ligatures w14:val="standardContextual"/>
    </w:rPr>
  </w:style>
  <w:style w:type="paragraph" w:styleId="Heading6">
    <w:name w:val="heading 6"/>
    <w:basedOn w:val="Normal"/>
    <w:next w:val="Normal"/>
    <w:link w:val="Heading6Char"/>
    <w:uiPriority w:val="9"/>
    <w:semiHidden/>
    <w:unhideWhenUsed/>
    <w:qFormat/>
    <w:pPr>
      <w:keepNext/>
      <w:keepLines/>
      <w:spacing w:before="40" w:after="0" w:line="240" w:lineRule="auto"/>
      <w:outlineLvl w:val="5"/>
    </w:pPr>
    <w:rPr>
      <w:rFonts w:asciiTheme="minorHAnsi" w:eastAsiaTheme="majorEastAsia" w:hAnsiTheme="minorHAnsi" w:cstheme="majorBidi"/>
      <w:i/>
      <w:iCs/>
      <w:color w:val="595959" w:themeColor="text1" w:themeTint="A6"/>
      <w:kern w:val="2"/>
      <w:sz w:val="24"/>
      <w:szCs w:val="24"/>
      <w:lang w:val="zh-CN" w:eastAsia="ja-JP"/>
      <w14:ligatures w14:val="standardContextual"/>
    </w:rPr>
  </w:style>
  <w:style w:type="paragraph" w:styleId="Heading7">
    <w:name w:val="heading 7"/>
    <w:basedOn w:val="Normal"/>
    <w:next w:val="Normal"/>
    <w:link w:val="Heading7Char"/>
    <w:uiPriority w:val="9"/>
    <w:semiHidden/>
    <w:unhideWhenUsed/>
    <w:qFormat/>
    <w:pPr>
      <w:keepNext/>
      <w:keepLines/>
      <w:spacing w:before="40" w:after="0" w:line="240" w:lineRule="auto"/>
      <w:outlineLvl w:val="6"/>
    </w:pPr>
    <w:rPr>
      <w:rFonts w:asciiTheme="minorHAnsi" w:eastAsiaTheme="majorEastAsia" w:hAnsiTheme="minorHAnsi" w:cstheme="majorBidi"/>
      <w:color w:val="595959" w:themeColor="text1" w:themeTint="A6"/>
      <w:kern w:val="2"/>
      <w:sz w:val="24"/>
      <w:szCs w:val="24"/>
      <w:lang w:val="zh-CN" w:eastAsia="ja-JP"/>
      <w14:ligatures w14:val="standardContextual"/>
    </w:rPr>
  </w:style>
  <w:style w:type="paragraph" w:styleId="Heading8">
    <w:name w:val="heading 8"/>
    <w:basedOn w:val="Normal"/>
    <w:next w:val="Normal"/>
    <w:link w:val="Heading8Char"/>
    <w:uiPriority w:val="9"/>
    <w:semiHidden/>
    <w:unhideWhenUsed/>
    <w:qFormat/>
    <w:pPr>
      <w:keepNext/>
      <w:keepLines/>
      <w:spacing w:after="0" w:line="240" w:lineRule="auto"/>
      <w:outlineLvl w:val="7"/>
    </w:pPr>
    <w:rPr>
      <w:rFonts w:asciiTheme="minorHAnsi" w:eastAsiaTheme="majorEastAsia" w:hAnsiTheme="minorHAnsi" w:cstheme="majorBidi"/>
      <w:i/>
      <w:iCs/>
      <w:color w:val="262626" w:themeColor="text1" w:themeTint="D9"/>
      <w:kern w:val="2"/>
      <w:sz w:val="24"/>
      <w:szCs w:val="24"/>
      <w:lang w:val="zh-CN" w:eastAsia="ja-JP"/>
      <w14:ligatures w14:val="standardContextual"/>
    </w:rPr>
  </w:style>
  <w:style w:type="paragraph" w:styleId="Heading9">
    <w:name w:val="heading 9"/>
    <w:basedOn w:val="Normal"/>
    <w:next w:val="Normal"/>
    <w:link w:val="Heading9Char"/>
    <w:uiPriority w:val="9"/>
    <w:semiHidden/>
    <w:unhideWhenUsed/>
    <w:qFormat/>
    <w:pPr>
      <w:keepNext/>
      <w:keepLines/>
      <w:spacing w:after="0" w:line="240" w:lineRule="auto"/>
      <w:outlineLvl w:val="8"/>
    </w:pPr>
    <w:rPr>
      <w:rFonts w:asciiTheme="minorHAnsi" w:eastAsiaTheme="majorEastAsia" w:hAnsiTheme="minorHAnsi" w:cstheme="majorBidi"/>
      <w:color w:val="262626" w:themeColor="text1" w:themeTint="D9"/>
      <w:kern w:val="2"/>
      <w:sz w:val="24"/>
      <w:szCs w:val="24"/>
      <w:lang w:val="zh-CN" w:eastAsia="ja-JP"/>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style>
  <w:style w:type="paragraph" w:styleId="Subtitle">
    <w:name w:val="Subtitle"/>
    <w:basedOn w:val="Normal"/>
    <w:next w:val="Normal"/>
    <w:link w:val="SubtitleChar"/>
    <w:uiPriority w:val="11"/>
    <w:qFormat/>
    <w:pPr>
      <w:spacing w:after="160" w:line="240" w:lineRule="auto"/>
    </w:pPr>
    <w:rPr>
      <w:rFonts w:asciiTheme="minorHAnsi" w:eastAsiaTheme="majorEastAsia" w:hAnsiTheme="minorHAnsi" w:cstheme="majorBidi"/>
      <w:color w:val="595959" w:themeColor="text1" w:themeTint="A6"/>
      <w:spacing w:val="15"/>
      <w:kern w:val="2"/>
      <w:sz w:val="28"/>
      <w:szCs w:val="28"/>
      <w:lang w:val="zh-CN" w:eastAsia="ja-JP"/>
      <w14:ligatures w14:val="standardContextual"/>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val="zh-CN" w:eastAsia="zh-TW"/>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lang w:val="zh-CN" w:eastAsia="ja-JP"/>
      <w14:ligatures w14:val="standardContextual"/>
    </w:rPr>
  </w:style>
  <w:style w:type="table" w:styleId="LightGrid-Accent1">
    <w:name w:val="Light Grid Accent 1"/>
    <w:basedOn w:val="TableNormal"/>
    <w:uiPriority w:val="62"/>
    <w:rPr>
      <w:sz w:val="22"/>
      <w:szCs w:val="22"/>
      <w:lang w:val="en-US" w:eastAsia="en-US"/>
    </w:rPr>
    <w:tblPr>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auto"/>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auto"/>
        </w:tcBorders>
      </w:tcPr>
    </w:tblStyle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160" w:line="240" w:lineRule="auto"/>
      <w:jc w:val="center"/>
    </w:pPr>
    <w:rPr>
      <w:rFonts w:asciiTheme="minorHAnsi" w:hAnsiTheme="minorHAnsi"/>
      <w:i/>
      <w:iCs/>
      <w:color w:val="404040" w:themeColor="text1" w:themeTint="BF"/>
      <w:kern w:val="2"/>
      <w:sz w:val="24"/>
      <w:szCs w:val="24"/>
      <w:lang w:val="zh-CN" w:eastAsia="ja-JP"/>
      <w14:ligatures w14:val="standardContextual"/>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spacing w:after="0" w:line="240" w:lineRule="auto"/>
      <w:ind w:left="720"/>
      <w:contextualSpacing/>
    </w:pPr>
    <w:rPr>
      <w:rFonts w:asciiTheme="minorHAnsi" w:hAnsiTheme="minorHAnsi"/>
      <w:kern w:val="2"/>
      <w:sz w:val="24"/>
      <w:szCs w:val="24"/>
      <w:lang w:val="zh-CN" w:eastAsia="ja-JP"/>
      <w14:ligatures w14:val="standardContextual"/>
    </w:r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hAnsiTheme="minorHAnsi"/>
      <w:i/>
      <w:iCs/>
      <w:color w:val="0F4761" w:themeColor="accent1" w:themeShade="BF"/>
      <w:kern w:val="2"/>
      <w:sz w:val="24"/>
      <w:szCs w:val="24"/>
      <w:lang w:val="zh-CN" w:eastAsia="ja-JP"/>
      <w14:ligatures w14:val="standardContextual"/>
    </w:rPr>
  </w:style>
  <w:style w:type="character" w:customStyle="1" w:styleId="IntenseQuoteChar">
    <w:name w:val="Intense Quote Char"/>
    <w:basedOn w:val="DefaultParagraphFont"/>
    <w:link w:val="IntenseQuote"/>
    <w:uiPriority w:val="30"/>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citation-636">
    <w:name w:val="citation-636"/>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36</Pages>
  <Words>11178</Words>
  <Characters>63721</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WHITTLE</dc:creator>
  <cp:lastModifiedBy>Michael WHITTLE</cp:lastModifiedBy>
  <cp:revision>3</cp:revision>
  <dcterms:created xsi:type="dcterms:W3CDTF">2026-04-01T11:40:00Z</dcterms:created>
  <dcterms:modified xsi:type="dcterms:W3CDTF">2026-04-15T09:49:00Z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2052-7.5.1.8994</vt:lpwstr>
  </property>
  <property fmtid="{D5CDD505-2E9C-101B-9397-08002B2CF9AE}" pid="3" name="ICV">
    <vt:lpwstr>18EBBD6A4F3351D3CD83CF6910F645FA_42</vt:lpwstr>
  </property>
</Properties>
</file>