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61BBE">
      <w:pPr>
        <w:rPr>
          <w:rFonts w:hint="eastAsia" w:ascii="黑体" w:hAnsi="黑体" w:eastAsia="黑体" w:cs="黑体"/>
          <w:highlight w:val="none"/>
        </w:rPr>
      </w:pPr>
    </w:p>
    <w:p w14:paraId="546EBC79">
      <w:pPr>
        <w:jc w:val="center"/>
        <w:rPr>
          <w:rFonts w:hint="eastAsia" w:ascii="黑体" w:hAnsi="黑体" w:eastAsia="黑体" w:cs="黑体"/>
          <w:sz w:val="36"/>
          <w:szCs w:val="44"/>
          <w:highlight w:val="none"/>
          <w:u w:val="single"/>
        </w:rPr>
      </w:pPr>
      <w:r>
        <w:rPr>
          <w:rFonts w:hint="eastAsia" w:ascii="黑体" w:hAnsi="黑体" w:eastAsia="黑体" w:cs="黑体"/>
          <w:sz w:val="36"/>
          <w:szCs w:val="44"/>
          <w:highlight w:val="none"/>
          <w:u w:val="single"/>
        </w:rPr>
        <w:t>實踐型</w:t>
      </w:r>
      <w:r>
        <w:rPr>
          <w:rFonts w:hint="eastAsia" w:ascii="黑体" w:hAnsi="黑体" w:eastAsia="黑体" w:cs="黑体"/>
          <w:sz w:val="36"/>
          <w:szCs w:val="44"/>
          <w:highlight w:val="none"/>
          <w:u w:val="single"/>
          <w:lang w:val="en-US" w:eastAsia="zh-CN"/>
        </w:rPr>
        <w:t>藝術博士研修</w:t>
      </w:r>
      <w:r>
        <w:rPr>
          <w:rFonts w:hint="eastAsia" w:ascii="黑体" w:hAnsi="黑体" w:eastAsia="黑体" w:cs="黑体"/>
          <w:sz w:val="36"/>
          <w:szCs w:val="44"/>
          <w:highlight w:val="none"/>
          <w:u w:val="single"/>
        </w:rPr>
        <w:t>指南</w:t>
      </w:r>
    </w:p>
    <w:p w14:paraId="470C18A3">
      <w:pPr>
        <w:jc w:val="center"/>
        <w:rPr>
          <w:rFonts w:hint="eastAsia" w:ascii="黑体" w:hAnsi="黑体" w:eastAsia="黑体" w:cs="黑体"/>
          <w:i/>
          <w:iCs/>
          <w:sz w:val="24"/>
          <w:szCs w:val="32"/>
          <w:highlight w:val="none"/>
          <w:u w:val="single"/>
        </w:rPr>
      </w:pPr>
      <w:r>
        <w:rPr>
          <w:rFonts w:hint="eastAsia" w:ascii="黑体" w:hAnsi="黑体" w:eastAsia="黑体" w:cs="黑体"/>
          <w:i/>
          <w:iCs/>
          <w:sz w:val="24"/>
          <w:szCs w:val="32"/>
          <w:highlight w:val="none"/>
          <w:u w:val="single"/>
          <w:lang w:val="en-US" w:eastAsia="zh-CN"/>
        </w:rPr>
        <w:t>一個為</w:t>
      </w:r>
      <w:r>
        <w:rPr>
          <w:rFonts w:hint="eastAsia" w:ascii="黑体" w:hAnsi="黑体" w:eastAsia="黑体" w:cs="黑体"/>
          <w:i/>
          <w:iCs/>
          <w:sz w:val="24"/>
          <w:szCs w:val="32"/>
          <w:highlight w:val="none"/>
          <w:u w:val="single"/>
        </w:rPr>
        <w:t>實踐型博士</w:t>
      </w:r>
      <w:r>
        <w:rPr>
          <w:rFonts w:hint="eastAsia" w:ascii="黑体" w:hAnsi="黑体" w:eastAsia="黑体" w:cs="黑体"/>
          <w:i/>
          <w:iCs/>
          <w:sz w:val="24"/>
          <w:szCs w:val="32"/>
          <w:highlight w:val="none"/>
          <w:u w:val="single"/>
          <w:lang w:val="en-US" w:eastAsia="zh-CN"/>
        </w:rPr>
        <w:t>打造的研修</w:t>
      </w:r>
      <w:r>
        <w:rPr>
          <w:rFonts w:hint="eastAsia" w:ascii="黑体" w:hAnsi="黑体" w:eastAsia="黑体" w:cs="黑体"/>
          <w:i/>
          <w:iCs/>
          <w:sz w:val="24"/>
          <w:szCs w:val="32"/>
          <w:highlight w:val="none"/>
          <w:u w:val="single"/>
        </w:rPr>
        <w:t>工具包</w:t>
      </w:r>
    </w:p>
    <w:p w14:paraId="3FFC6986">
      <w:pPr>
        <w:jc w:val="center"/>
        <w:rPr>
          <w:rFonts w:hint="eastAsia" w:ascii="黑体" w:hAnsi="黑体" w:eastAsia="黑体" w:cs="黑体"/>
          <w:highlight w:val="none"/>
        </w:rPr>
      </w:pPr>
    </w:p>
    <w:p w14:paraId="6E6E9024">
      <w:pPr>
        <w:jc w:val="center"/>
        <w:rPr>
          <w:rFonts w:hint="eastAsia" w:ascii="黑体" w:hAnsi="黑体" w:eastAsia="黑体" w:cs="黑体"/>
          <w:highlight w:val="none"/>
        </w:rPr>
      </w:pPr>
    </w:p>
    <w:p w14:paraId="316FE241">
      <w:pPr>
        <w:jc w:val="center"/>
        <w:rPr>
          <w:rFonts w:hint="eastAsia" w:ascii="黑体" w:hAnsi="黑体" w:eastAsia="黑体" w:cs="黑体"/>
          <w:highlight w:val="none"/>
        </w:rPr>
      </w:pPr>
    </w:p>
    <w:p w14:paraId="56BE8FA5">
      <w:pPr>
        <w:jc w:val="center"/>
        <w:rPr>
          <w:rFonts w:hint="eastAsia" w:ascii="黑体" w:hAnsi="黑体" w:eastAsia="黑体" w:cs="黑体"/>
          <w:highlight w:val="none"/>
        </w:rPr>
      </w:pPr>
    </w:p>
    <w:p w14:paraId="0FC2A614">
      <w:pPr>
        <w:jc w:val="center"/>
        <w:rPr>
          <w:rFonts w:hint="eastAsia" w:ascii="黑体" w:hAnsi="黑体" w:eastAsia="黑体" w:cs="黑体"/>
          <w:highlight w:val="none"/>
        </w:rPr>
      </w:pPr>
    </w:p>
    <w:p w14:paraId="0124C261">
      <w:pPr>
        <w:jc w:val="center"/>
        <w:rPr>
          <w:rFonts w:hint="eastAsia" w:ascii="黑体" w:hAnsi="黑体" w:eastAsia="黑体" w:cs="黑体"/>
          <w:highlight w:val="none"/>
        </w:rPr>
      </w:pPr>
    </w:p>
    <w:p w14:paraId="3D784FE9">
      <w:pPr>
        <w:jc w:val="center"/>
        <w:rPr>
          <w:rFonts w:hint="eastAsia" w:ascii="黑体" w:hAnsi="黑体" w:eastAsia="黑体" w:cs="黑体"/>
          <w:highlight w:val="none"/>
        </w:rPr>
      </w:pPr>
    </w:p>
    <w:p w14:paraId="1E3203F2">
      <w:pPr>
        <w:jc w:val="center"/>
        <w:rPr>
          <w:rFonts w:hint="eastAsia" w:ascii="黑体" w:hAnsi="黑体" w:eastAsia="黑体" w:cs="黑体"/>
          <w:highlight w:val="none"/>
        </w:rPr>
      </w:pPr>
    </w:p>
    <w:p w14:paraId="19B406FD">
      <w:pPr>
        <w:jc w:val="center"/>
        <w:rPr>
          <w:rFonts w:hint="eastAsia" w:ascii="黑体" w:hAnsi="黑体" w:eastAsia="黑体" w:cs="黑体"/>
          <w:highlight w:val="none"/>
        </w:rPr>
      </w:pPr>
    </w:p>
    <w:p w14:paraId="63A84A22">
      <w:pPr>
        <w:jc w:val="center"/>
        <w:rPr>
          <w:rFonts w:hint="eastAsia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</w:rPr>
        <w:t>作者：Michael Whittle</w:t>
      </w:r>
      <w:r>
        <w:rPr>
          <w:rFonts w:hint="eastAsia" w:ascii="黑体" w:hAnsi="黑体" w:eastAsia="黑体" w:cs="黑体"/>
          <w:highlight w:val="none"/>
          <w:lang w:val="en-US" w:eastAsia="zh-CN"/>
        </w:rPr>
        <w:t>教授</w:t>
      </w:r>
    </w:p>
    <w:p w14:paraId="5C889620">
      <w:pPr>
        <w:jc w:val="center"/>
        <w:rPr>
          <w:rFonts w:hint="eastAsia" w:ascii="黑体" w:hAnsi="黑体" w:eastAsia="黑体" w:cs="黑体"/>
          <w:highlight w:val="none"/>
        </w:rPr>
      </w:pPr>
      <w:r>
        <w:rPr>
          <w:rFonts w:hint="eastAsia" w:ascii="黑体" w:hAnsi="黑体" w:eastAsia="黑体" w:cs="黑体"/>
          <w:highlight w:val="none"/>
        </w:rPr>
        <w:t>版本：1.0</w:t>
      </w:r>
    </w:p>
    <w:p w14:paraId="48244158">
      <w:pPr>
        <w:jc w:val="center"/>
        <w:rPr>
          <w:rFonts w:hint="eastAsia" w:ascii="黑体" w:hAnsi="黑体" w:eastAsia="黑体" w:cs="黑体"/>
          <w:highlight w:val="none"/>
        </w:rPr>
      </w:pPr>
    </w:p>
    <w:p w14:paraId="17B57A84">
      <w:pPr>
        <w:jc w:val="center"/>
        <w:rPr>
          <w:rFonts w:hint="eastAsia" w:ascii="黑体" w:hAnsi="黑体" w:eastAsia="黑体" w:cs="黑体"/>
          <w:highlight w:val="none"/>
        </w:rPr>
      </w:pPr>
    </w:p>
    <w:p w14:paraId="51224263">
      <w:pPr>
        <w:jc w:val="center"/>
        <w:rPr>
          <w:rFonts w:hint="eastAsia" w:ascii="黑体" w:hAnsi="黑体" w:eastAsia="黑体" w:cs="黑体"/>
          <w:highlight w:val="none"/>
        </w:rPr>
      </w:pPr>
      <w:r>
        <w:rPr>
          <w:rFonts w:hint="eastAsia" w:ascii="黑体" w:hAnsi="黑体" w:eastAsia="黑体" w:cs="黑体"/>
          <w:highlight w:val="none"/>
        </w:rPr>
        <w:t>最後更新：2026年</w:t>
      </w:r>
      <w:r>
        <w:rPr>
          <w:rFonts w:hint="eastAsia" w:ascii="黑体" w:hAnsi="黑体" w:eastAsia="黑体" w:cs="黑体"/>
          <w:highlight w:val="none"/>
          <w:lang w:val="en-US" w:eastAsia="zh-CN"/>
        </w:rPr>
        <w:t>4</w:t>
      </w:r>
      <w:r>
        <w:rPr>
          <w:rFonts w:hint="eastAsia" w:ascii="黑体" w:hAnsi="黑体" w:eastAsia="黑体" w:cs="黑体"/>
          <w:highlight w:val="none"/>
        </w:rPr>
        <w:t>月</w:t>
      </w:r>
    </w:p>
    <w:p w14:paraId="7FA939D6">
      <w:pPr>
        <w:rPr>
          <w:rFonts w:hint="eastAsia"/>
          <w:highlight w:val="none"/>
        </w:rPr>
      </w:pPr>
    </w:p>
    <w:p w14:paraId="6A63C09C">
      <w:pPr>
        <w:rPr>
          <w:rFonts w:hint="eastAsia"/>
          <w:highlight w:val="none"/>
        </w:rPr>
      </w:pPr>
    </w:p>
    <w:p w14:paraId="41D1A226">
      <w:pPr>
        <w:rPr>
          <w:rFonts w:hint="eastAsia"/>
          <w:highlight w:val="none"/>
        </w:rPr>
      </w:pPr>
    </w:p>
    <w:p w14:paraId="7C6452AB">
      <w:pPr>
        <w:rPr>
          <w:rFonts w:hint="eastAsia"/>
          <w:highlight w:val="none"/>
        </w:rPr>
      </w:pPr>
    </w:p>
    <w:p w14:paraId="6D1C4B7B">
      <w:pPr>
        <w:rPr>
          <w:rFonts w:hint="eastAsia"/>
          <w:highlight w:val="none"/>
        </w:rPr>
      </w:pPr>
    </w:p>
    <w:p w14:paraId="657457A3">
      <w:pPr>
        <w:rPr>
          <w:rFonts w:hint="eastAsia"/>
          <w:highlight w:val="none"/>
        </w:rPr>
      </w:pPr>
    </w:p>
    <w:p w14:paraId="523B0528">
      <w:pPr>
        <w:rPr>
          <w:rFonts w:hint="eastAsia"/>
          <w:highlight w:val="none"/>
        </w:rPr>
      </w:pPr>
    </w:p>
    <w:p w14:paraId="7AD5A68F">
      <w:pPr>
        <w:rPr>
          <w:rFonts w:hint="eastAsia"/>
          <w:highlight w:val="none"/>
        </w:rPr>
      </w:pPr>
    </w:p>
    <w:p w14:paraId="563A648B">
      <w:pPr>
        <w:rPr>
          <w:rFonts w:hint="eastAsia"/>
          <w:highlight w:val="none"/>
        </w:rPr>
      </w:pPr>
    </w:p>
    <w:p w14:paraId="33073824">
      <w:pPr>
        <w:rPr>
          <w:rFonts w:hint="eastAsia"/>
          <w:highlight w:val="none"/>
        </w:rPr>
      </w:pPr>
    </w:p>
    <w:p w14:paraId="7DC75800">
      <w:pPr>
        <w:rPr>
          <w:rFonts w:hint="eastAsia"/>
          <w:highlight w:val="none"/>
        </w:rPr>
      </w:pPr>
    </w:p>
    <w:p w14:paraId="3DD06C68">
      <w:pPr>
        <w:rPr>
          <w:rFonts w:hint="eastAsia"/>
          <w:highlight w:val="none"/>
        </w:rPr>
      </w:pPr>
    </w:p>
    <w:p w14:paraId="2FE8A2B9">
      <w:pPr>
        <w:rPr>
          <w:rFonts w:hint="eastAsia"/>
          <w:highlight w:val="none"/>
        </w:rPr>
      </w:pPr>
    </w:p>
    <w:p w14:paraId="352F12CB">
      <w:pPr>
        <w:rPr>
          <w:rFonts w:hint="eastAsia"/>
          <w:highlight w:val="none"/>
        </w:rPr>
      </w:pPr>
    </w:p>
    <w:p w14:paraId="3BB129DF">
      <w:pPr>
        <w:rPr>
          <w:rFonts w:hint="eastAsia"/>
          <w:highlight w:val="none"/>
        </w:rPr>
      </w:pPr>
    </w:p>
    <w:p w14:paraId="259AF038">
      <w:pPr>
        <w:rPr>
          <w:rFonts w:hint="eastAsia"/>
          <w:highlight w:val="none"/>
        </w:rPr>
      </w:pPr>
    </w:p>
    <w:p w14:paraId="54EAB5E8">
      <w:pPr>
        <w:rPr>
          <w:rFonts w:hint="eastAsia"/>
          <w:highlight w:val="none"/>
        </w:rPr>
      </w:pPr>
    </w:p>
    <w:p w14:paraId="59CF8C4A">
      <w:pPr>
        <w:rPr>
          <w:rFonts w:hint="eastAsia"/>
          <w:highlight w:val="none"/>
        </w:rPr>
      </w:pPr>
    </w:p>
    <w:p w14:paraId="4592990C">
      <w:pPr>
        <w:rPr>
          <w:rFonts w:hint="eastAsia"/>
          <w:highlight w:val="none"/>
        </w:rPr>
      </w:pPr>
    </w:p>
    <w:p w14:paraId="1B045117">
      <w:pPr>
        <w:rPr>
          <w:rFonts w:hint="eastAsia"/>
          <w:highlight w:val="none"/>
        </w:rPr>
      </w:pPr>
    </w:p>
    <w:p w14:paraId="04F2A05F">
      <w:pPr>
        <w:rPr>
          <w:rFonts w:hint="eastAsia"/>
          <w:highlight w:val="none"/>
        </w:rPr>
      </w:pPr>
    </w:p>
    <w:p w14:paraId="4D7FB406">
      <w:pPr>
        <w:rPr>
          <w:rFonts w:hint="eastAsia"/>
          <w:highlight w:val="none"/>
        </w:rPr>
      </w:pPr>
    </w:p>
    <w:p w14:paraId="7819F1C9">
      <w:pPr>
        <w:rPr>
          <w:rFonts w:hint="eastAsia"/>
          <w:highlight w:val="none"/>
        </w:rPr>
      </w:pPr>
    </w:p>
    <w:p w14:paraId="35AF83E9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b/>
          <w:bCs/>
          <w:highlight w:val="none"/>
        </w:rPr>
        <w:t>關於本指南</w:t>
      </w:r>
      <w:r>
        <w:rPr>
          <w:rFonts w:hint="eastAsia" w:ascii="PingFang TC Regular" w:hAnsi="PingFang TC Regular" w:eastAsia="PingFang TC Regular" w:cs="PingFang TC Regular"/>
          <w:b/>
          <w:bCs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</w:t>
      </w:r>
    </w:p>
    <w:p w14:paraId="3C830A94">
      <w:pPr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這是一份非官方、獨立的資源。它不隸屬於、也不代表任何特定大學或學術部門。本指南的內容基於我作為當代藝術家和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藝術博士</w:t>
      </w:r>
      <w:r>
        <w:rPr>
          <w:rFonts w:hint="eastAsia" w:ascii="PingFang TC Regular" w:hAnsi="PingFang TC Regular" w:eastAsia="PingFang TC Regular" w:cs="PingFang TC Regular"/>
          <w:highlight w:val="none"/>
        </w:rPr>
        <w:t>導師的個人經驗與觀點，免費提供給所有從事藝術領域實踐型博士研究的人員作為通用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的研修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路線圖。  </w:t>
      </w:r>
    </w:p>
    <w:p w14:paraId="5814E067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99763D8">
      <w:pPr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請注意：本指南不構成官方學術建議。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應始終諮詢自己的導師和所在機構的官方指南，以瞭解具體課程要求和政策。</w:t>
      </w:r>
    </w:p>
    <w:p w14:paraId="744F3833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2EC8588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58E43ED">
      <w:pPr>
        <w:rPr>
          <w:rFonts w:hint="eastAsia" w:ascii="PingFang TC Regular" w:hAnsi="PingFang TC Regular" w:eastAsia="PingFang TC Regular" w:cs="PingFang TC Regular"/>
          <w:b/>
          <w:bCs/>
          <w:highlight w:val="none"/>
          <w:lang w:eastAsia="zh-CN"/>
        </w:rPr>
      </w:pPr>
      <w:r>
        <w:rPr>
          <w:rFonts w:hint="eastAsia" w:ascii="PingFang TC Regular" w:hAnsi="PingFang TC Regular" w:eastAsia="PingFang TC Regular" w:cs="PingFang TC Regular"/>
          <w:b/>
          <w:bCs/>
          <w:highlight w:val="none"/>
        </w:rPr>
        <w:t>使用權</w:t>
      </w:r>
      <w:r>
        <w:rPr>
          <w:rFonts w:hint="eastAsia" w:ascii="PingFang TC Regular" w:hAnsi="PingFang TC Regular" w:eastAsia="PingFang TC Regular" w:cs="PingFang TC Regular"/>
          <w:b/>
          <w:bCs/>
          <w:highlight w:val="none"/>
          <w:lang w:val="en-US" w:eastAsia="zh-CN"/>
        </w:rPr>
        <w:t>限</w:t>
      </w:r>
      <w:r>
        <w:rPr>
          <w:rFonts w:hint="eastAsia" w:ascii="PingFang TC Regular" w:hAnsi="PingFang TC Regular" w:eastAsia="PingFang TC Regular" w:cs="PingFang TC Regular"/>
          <w:b/>
          <w:bCs/>
          <w:highlight w:val="none"/>
          <w:lang w:eastAsia="zh-CN"/>
        </w:rPr>
        <w:t>：</w:t>
      </w:r>
    </w:p>
    <w:p w14:paraId="5371C06F">
      <w:pPr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本作品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採納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署名—非商業性使用—相同方式共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享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4.0 協議國際版（CC BY-NC-SA 4.0）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」</w:t>
      </w:r>
      <w:r>
        <w:rPr>
          <w:rFonts w:hint="eastAsia" w:ascii="PingFang TC Regular" w:hAnsi="PingFang TC Regular" w:eastAsia="PingFang TC Regular" w:cs="PingFang TC Regular"/>
          <w:highlight w:val="none"/>
        </w:rPr>
        <w:t>許可協議。歡迎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出於非商業教育目的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來</w:t>
      </w:r>
      <w:r>
        <w:rPr>
          <w:rFonts w:hint="eastAsia" w:ascii="PingFang TC Regular" w:hAnsi="PingFang TC Regular" w:eastAsia="PingFang TC Regular" w:cs="PingFang TC Regular"/>
          <w:highlight w:val="none"/>
        </w:rPr>
        <w:t>分享和改編本指南，但請注明作者、鏈接至許可協議，並標明是否做過修改。任何改編版本必須採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納</w:t>
      </w:r>
      <w:r>
        <w:rPr>
          <w:rFonts w:hint="eastAsia" w:ascii="PingFang TC Regular" w:hAnsi="PingFang TC Regular" w:eastAsia="PingFang TC Regular" w:cs="PingFang TC Regular"/>
          <w:highlight w:val="none"/>
        </w:rPr>
        <w:t>相同的許可協議。</w:t>
      </w:r>
    </w:p>
    <w:p w14:paraId="49A44D68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51A38B1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89F3C07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FB1E2E1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CA30BE6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0770B84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B7B245A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6BCDC89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F25CF28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C166FD3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C4F16FF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702A1F8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4989246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8423032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E65A027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D1C1541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0FD5CBB">
      <w:pPr>
        <w:rPr>
          <w:rFonts w:hint="eastAsia" w:ascii="PingFang TC Regular" w:hAnsi="PingFang TC Regular" w:eastAsia="PingFang TC Regular" w:cs="PingFang TC Regular"/>
          <w:b/>
          <w:bCs/>
          <w:highlight w:val="none"/>
        </w:rPr>
      </w:pPr>
    </w:p>
    <w:p w14:paraId="1D7C9D50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/>
          <w:bCs/>
          <w:highlight w:val="none"/>
        </w:rPr>
      </w:pPr>
      <w:r>
        <w:rPr>
          <w:rFonts w:hint="eastAsia" w:ascii="PingFang TC Regular" w:hAnsi="PingFang TC Regular" w:eastAsia="PingFang TC Regular" w:cs="PingFang TC Regular"/>
          <w:b/>
          <w:bCs/>
          <w:highlight w:val="none"/>
        </w:rPr>
        <w:t>獻詞</w:t>
      </w:r>
    </w:p>
    <w:p w14:paraId="0922F5EA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C75FEF7">
      <w:pPr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謹以此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册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獻給我的本科生物化學專業的教授們——John Wood教授和Karen Shallreuter教授。  </w:t>
      </w:r>
    </w:p>
    <w:p w14:paraId="2886F525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4F965D6">
      <w:pPr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感謝你們的非凡開明胸懷。你們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曾</w:t>
      </w:r>
      <w:r>
        <w:rPr>
          <w:rFonts w:hint="eastAsia" w:ascii="PingFang TC Regular" w:hAnsi="PingFang TC Regular" w:eastAsia="PingFang TC Regular" w:cs="PingFang TC Regular"/>
          <w:highlight w:val="none"/>
        </w:rPr>
        <w:t>支持我對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自然</w:t>
      </w:r>
      <w:r>
        <w:rPr>
          <w:rFonts w:hint="eastAsia" w:ascii="PingFang TC Regular" w:hAnsi="PingFang TC Regular" w:eastAsia="PingFang TC Regular" w:cs="PingFang TC Regular"/>
          <w:highlight w:val="none"/>
        </w:rPr>
        <w:t>科學的熱情，當我決定轉而追求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</w:t>
      </w:r>
      <w:r>
        <w:rPr>
          <w:rFonts w:hint="eastAsia" w:ascii="PingFang TC Regular" w:hAnsi="PingFang TC Regular" w:eastAsia="PingFang TC Regular" w:cs="PingFang TC Regular"/>
          <w:highlight w:val="none"/>
        </w:rPr>
        <w:t>術時，你們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支持的熱情亦絲毫未減</w:t>
      </w:r>
      <w:r>
        <w:rPr>
          <w:rFonts w:hint="eastAsia" w:ascii="PingFang TC Regular" w:hAnsi="PingFang TC Regular" w:eastAsia="PingFang TC Regular" w:cs="PingFang TC Regular"/>
          <w:highlight w:val="none"/>
        </w:rPr>
        <w:t>。你們的信任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為我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開啟了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遠超我應得的機會之門。  </w:t>
      </w:r>
    </w:p>
    <w:p w14:paraId="2DEFADE5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3A26DDB">
      <w:pPr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你們的善意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令我見識到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真正的學術慷慨。正因如此，我曾對自己承諾：如果將來有機會，我會以同樣的開放、鼓勵與信任去支持我的學生——無論他們的道路通往何方。  </w:t>
      </w:r>
    </w:p>
    <w:p w14:paraId="35181C2D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B228C4B">
      <w:pPr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謹以拙作，敬獻二位教授，不勝感佩，銘記於心。</w:t>
      </w:r>
    </w:p>
    <w:p w14:paraId="16BAA55F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F28A887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49EEDD4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16BFA92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FEEE895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19EA464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D37BA7E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798395E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B758832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2E14224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ADBB725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31496DE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43F383A2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D2DEE15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D9AFC66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49334A4D">
      <w:pPr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78DBC1F">
      <w:pPr>
        <w:rPr>
          <w:rFonts w:hint="eastAsia" w:ascii="PingFang TC Semibold" w:hAnsi="PingFang TC Semibold" w:eastAsia="PingFang TC Semibold" w:cs="PingFang TC Semibold"/>
          <w:b/>
          <w:bCs/>
          <w:sz w:val="32"/>
          <w:szCs w:val="32"/>
          <w:u w:val="single"/>
        </w:rPr>
      </w:pPr>
    </w:p>
    <w:p w14:paraId="7588111A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Semibold" w:hAnsi="PingFang TC Semibold" w:eastAsia="PingFang TC Semibold" w:cs="PingFang TC Semibold"/>
          <w:b/>
          <w:bCs/>
          <w:sz w:val="36"/>
          <w:szCs w:val="36"/>
          <w:u w:val="single"/>
        </w:rPr>
      </w:pPr>
      <w:r>
        <w:rPr>
          <w:rFonts w:hint="eastAsia" w:ascii="PingFang TC Semibold" w:hAnsi="PingFang TC Semibold" w:eastAsia="PingFang TC Semibold" w:cs="PingFang TC Semibold"/>
          <w:b/>
          <w:bCs/>
          <w:sz w:val="32"/>
          <w:szCs w:val="32"/>
          <w:u w:val="single"/>
        </w:rPr>
        <w:t>快速導航指南</w:t>
      </w:r>
      <w:r>
        <w:rPr>
          <w:rFonts w:hint="eastAsia" w:ascii="PingFang TC Semibold" w:hAnsi="PingFang TC Semibold" w:eastAsia="PingFang TC Semibold" w:cs="PingFang TC Semibold"/>
          <w:b/>
          <w:bCs/>
          <w:sz w:val="36"/>
          <w:szCs w:val="36"/>
          <w:u w:val="single"/>
        </w:rPr>
        <w:t xml:space="preserve"> </w:t>
      </w:r>
    </w:p>
    <w:p w14:paraId="47E53D5D">
      <w:pPr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使用本指南可直接跳轉至與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當前階段或需求最相關的部分：  </w:t>
      </w:r>
      <w:r>
        <w:rPr>
          <w:rFonts w:hint="eastAsia" w:ascii="PingFang TC Regular" w:hAnsi="PingFang TC Regular" w:eastAsia="PingFang TC Regular" w:cs="PingFang TC Regular"/>
          <w:highlight w:val="none"/>
        </w:rPr>
        <w:tab/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          </w:t>
      </w:r>
    </w:p>
    <w:tbl>
      <w:tblPr>
        <w:tblStyle w:val="17"/>
        <w:tblW w:w="0" w:type="auto"/>
        <w:tblInd w:w="0" w:type="dxa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4"/>
        <w:gridCol w:w="3260"/>
        <w:gridCol w:w="3396"/>
      </w:tblGrid>
      <w:tr w14:paraId="685094F3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18" w:space="0"/>
              <w:right w:val="single" w:color="156082" w:themeColor="accent1" w:sz="8" w:space="0"/>
              <w:insideH w:val="single" w:sz="18" w:space="0"/>
              <w:insideV w:val="single" w:sz="8" w:space="0"/>
            </w:tcBorders>
            <w:shd w:val="clear" w:color="auto" w:fill="D5E8F0"/>
          </w:tcPr>
          <w:p w14:paraId="561FF406">
            <w:pPr>
              <w:spacing w:before="0"/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學習階段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18" w:space="0"/>
              <w:right w:val="single" w:color="156082" w:themeColor="accent1" w:sz="8" w:space="0"/>
              <w:insideH w:val="single" w:sz="18" w:space="0"/>
              <w:insideV w:val="single" w:sz="8" w:space="0"/>
            </w:tcBorders>
            <w:shd w:val="clear" w:color="auto" w:fill="D5E8F0"/>
          </w:tcPr>
          <w:p w14:paraId="22E15C61">
            <w:pPr>
              <w:spacing w:before="0"/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關鍵主題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18" w:space="0"/>
              <w:right w:val="single" w:color="156082" w:themeColor="accent1" w:sz="8" w:space="0"/>
              <w:insideH w:val="single" w:sz="18" w:space="0"/>
              <w:insideV w:val="single" w:sz="8" w:space="0"/>
            </w:tcBorders>
            <w:shd w:val="clear" w:color="auto" w:fill="D5E8F0"/>
          </w:tcPr>
          <w:p w14:paraId="3AA1B2AE">
            <w:pPr>
              <w:spacing w:before="0"/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相關章節</w:t>
            </w:r>
          </w:p>
        </w:tc>
      </w:tr>
      <w:tr w14:paraId="1D712CDA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766F2303">
            <w:pP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早期（第1-2</w:t>
            </w: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:lang w:val="en-US" w:eastAsia="zh-CN"/>
                <w14:ligatures w14:val="none"/>
              </w:rPr>
              <w:t>學</w:t>
            </w: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年）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209F2A25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入門、課程作業、選擇導師、時間管理、研究日誌、發展實踐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15209141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 xml:space="preserve">第一部分：基礎 </w:t>
            </w:r>
          </w:p>
        </w:tc>
      </w:tr>
      <w:tr w14:paraId="3CEEDC2B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19D2708E">
            <w:pP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中期（第2</w:t>
            </w: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:lang w:val="en-US" w:eastAsia="zh-CN"/>
                <w14:ligatures w14:val="none"/>
              </w:rPr>
              <w:t>學</w:t>
            </w: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年）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3934A465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研究問題、文獻綜述、提案撰寫、資格考試準備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339381FF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第二部分：定義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:lang w:val="en-US" w:eastAsia="zh-CN"/>
                <w14:ligatures w14:val="none"/>
              </w:rPr>
              <w:t>你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 xml:space="preserve">的研究 </w:t>
            </w:r>
          </w:p>
        </w:tc>
      </w:tr>
      <w:tr w14:paraId="620DEF0F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328130DE">
            <w:pP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中後期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213C86EC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方法論、記錄、工作室實踐作為研究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2A10D025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 xml:space="preserve">第三部分：藝術家作為研究者 </w:t>
            </w:r>
          </w:p>
        </w:tc>
      </w:tr>
      <w:tr w14:paraId="3243B2DB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4B990790">
            <w:pP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後期（第3-4</w:t>
            </w: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:lang w:val="en-US" w:eastAsia="zh-CN"/>
                <w14:ligatures w14:val="none"/>
              </w:rPr>
              <w:t>學</w:t>
            </w: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年）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48C3F57B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論文寫作、展覽策劃、</w:t>
            </w:r>
            <w:r>
              <w:rPr>
                <w:rFonts w:hint="eastAsia" w:ascii="PingFang TC Regular" w:hAnsi="PingFang TC Regular" w:eastAsia="PingFang TC Regular" w:cs="PingFang TC Regular"/>
                <w:color w:val="auto"/>
                <w:highlight w:val="none"/>
                <w:lang w:val="en-US" w:eastAsia="zh-CN"/>
                <w14:ligatures w14:val="none"/>
              </w:rPr>
              <w:t>開題</w:t>
            </w:r>
            <w:r>
              <w:rPr>
                <w:rFonts w:hint="eastAsia" w:ascii="PingFang TC Regular" w:hAnsi="PingFang TC Regular" w:eastAsia="PingFang TC Regular" w:cs="PingFang TC Regular"/>
                <w:color w:val="auto"/>
                <w:highlight w:val="none"/>
                <w14:ligatures w14:val="none"/>
              </w:rPr>
              <w:t>（TPA）、論文答辯準備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20AD452E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第四部分：論文與考核</w:t>
            </w:r>
          </w:p>
        </w:tc>
      </w:tr>
      <w:tr w14:paraId="7D282F74">
        <w:tc>
          <w:tcPr>
            <w:tcW w:w="9340" w:type="dxa"/>
            <w:gridSpan w:val="3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E8F4F8"/>
          </w:tcPr>
          <w:p w14:paraId="7F63C222">
            <w:pPr>
              <w:jc w:val="center"/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按主題導航</w:t>
            </w:r>
          </w:p>
        </w:tc>
      </w:tr>
      <w:tr w14:paraId="2790CBC0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09B173B3">
            <w:pP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寫作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77B0458F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學術寫作、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:lang w:val="en-US" w:eastAsia="zh-CN"/>
                <w14:ligatures w14:val="none"/>
              </w:rPr>
              <w:t>你的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:lang w:val="en-US" w:eastAsia="zh-TW"/>
                <w14:ligatures w14:val="none"/>
              </w:rPr>
              <w:t>聲音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、結構、整合視覺內容、文獻綜述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40696D3E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第三部分 → 藝術家的學術寫作</w:t>
            </w:r>
          </w:p>
        </w:tc>
      </w:tr>
      <w:tr w14:paraId="3473B958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78E551A0">
            <w:pP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使用AI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10794EE7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道德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:lang w:val="en-US" w:eastAsia="zh-CN"/>
                <w14:ligatures w14:val="none"/>
              </w:rPr>
              <w:t>地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使用AI工具、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:lang w:val="en-US" w:eastAsia="zh-CN"/>
                <w14:ligatures w14:val="none"/>
              </w:rPr>
              <w:t>使用准则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、</w:t>
            </w:r>
            <w:r>
              <w:rPr>
                <w:rFonts w:hint="eastAsia" w:ascii="PingFang TC Regular" w:hAnsi="PingFang TC Regular" w:eastAsia="PingFang TC Regular" w:cs="PingFang TC Regular"/>
                <w:color w:val="auto"/>
                <w:highlight w:val="none"/>
                <w14:ligatures w14:val="none"/>
              </w:rPr>
              <w:t>可接受/不可接受的</w:t>
            </w:r>
            <w:r>
              <w:rPr>
                <w:rFonts w:hint="eastAsia" w:ascii="PingFang TC Regular" w:hAnsi="PingFang TC Regular" w:eastAsia="PingFang TC Regular" w:cs="PingFang TC Regular"/>
                <w:color w:val="auto"/>
                <w:highlight w:val="none"/>
                <w:lang w:val="en-US" w:eastAsia="zh-CN"/>
                <w14:ligatures w14:val="none"/>
              </w:rPr>
              <w:t>AI</w:t>
            </w:r>
            <w:r>
              <w:rPr>
                <w:rFonts w:hint="eastAsia" w:ascii="PingFang TC Regular" w:hAnsi="PingFang TC Regular" w:eastAsia="PingFang TC Regular" w:cs="PingFang TC Regular"/>
                <w:color w:val="auto"/>
                <w:highlight w:val="none"/>
                <w14:ligatures w14:val="none"/>
              </w:rPr>
              <w:t>使用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18D4BD6D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 xml:space="preserve">第三部分 → 有效且道德地使用AI </w:t>
            </w:r>
          </w:p>
        </w:tc>
      </w:tr>
      <w:tr w14:paraId="163FF014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569A2807">
            <w:pP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引用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72FE842F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引用風格、引用非傳統印刷物资源、參考文獻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2921F1A4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 xml:space="preserve">第三部分 → 引用來源  </w:t>
            </w:r>
          </w:p>
        </w:tc>
      </w:tr>
      <w:tr w14:paraId="007CB423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2DE9FE64">
            <w:pP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身心健康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04D114FA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心理健康、身體健康、睡眠、壓力管理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641E7BB5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 xml:space="preserve">第五部分 → 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:lang w:val="en-US" w:eastAsia="zh-CN"/>
                <w14:ligatures w14:val="none"/>
              </w:rPr>
              <w:t>你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的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:lang w:val="en-US" w:eastAsia="zh-TW"/>
                <w14:ligatures w14:val="none"/>
              </w:rPr>
              <w:t>身心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健康</w:t>
            </w:r>
          </w:p>
        </w:tc>
      </w:tr>
      <w:tr w14:paraId="4B6875D4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4B174CF9">
            <w:pP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職業規劃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57F0D761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發表、會議、學術界、藝術界職業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</w:tcPr>
          <w:p w14:paraId="4D839142">
            <w:pP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 xml:space="preserve">第五部分 → 博士學位之後  </w:t>
            </w:r>
          </w:p>
        </w:tc>
      </w:tr>
      <w:tr w14:paraId="5C895108">
        <w:tc>
          <w:tcPr>
            <w:tcW w:w="2684" w:type="dxa"/>
            <w:tcBorders>
              <w:top w:val="single" w:color="156082" w:themeColor="accent1" w:sz="8" w:space="0"/>
              <w:left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017D3297">
            <w:pPr>
              <w:spacing w:after="0"/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b/>
                <w:bCs/>
                <w:highlight w:val="none"/>
                <w14:ligatures w14:val="none"/>
              </w:rPr>
              <w:t>資源</w:t>
            </w:r>
          </w:p>
        </w:tc>
        <w:tc>
          <w:tcPr>
            <w:tcW w:w="3260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3B0A85E6">
            <w:pPr>
              <w:spacing w:after="0"/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關鍵文獻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:lang w:val="en-US" w:eastAsia="zh-CN"/>
                <w14:ligatures w14:val="none"/>
              </w:rPr>
              <w:t>或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:lang w:val="en-US" w:eastAsia="zh-TW"/>
                <w14:ligatures w14:val="none"/>
              </w:rPr>
              <w:t>術語</w:t>
            </w: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、期刊、大學服務、外部資源、論文結構</w:t>
            </w:r>
          </w:p>
        </w:tc>
        <w:tc>
          <w:tcPr>
            <w:tcW w:w="3396" w:type="dxa"/>
            <w:tcBorders>
              <w:top w:val="single" w:color="156082" w:themeColor="accent1" w:sz="8" w:space="0"/>
              <w:bottom w:val="single" w:color="156082" w:themeColor="accent1" w:sz="8" w:space="0"/>
              <w:right w:val="single" w:color="156082" w:themeColor="accent1" w:sz="8" w:space="0"/>
              <w:insideH w:val="single" w:sz="8" w:space="0"/>
              <w:insideV w:val="single" w:sz="8" w:space="0"/>
            </w:tcBorders>
            <w:shd w:val="clear" w:color="auto" w:fill="B2DEF2" w:themeFill="accent1" w:themeFillTint="3F"/>
          </w:tcPr>
          <w:p w14:paraId="1DBFA77E">
            <w:pPr>
              <w:spacing w:after="0"/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</w:pPr>
            <w:r>
              <w:rPr>
                <w:rFonts w:hint="eastAsia" w:ascii="PingFang TC Regular" w:hAnsi="PingFang TC Regular" w:eastAsia="PingFang TC Regular" w:cs="PingFang TC Regular"/>
                <w:highlight w:val="none"/>
                <w14:ligatures w14:val="none"/>
              </w:rPr>
              <w:t>附錄 → 有用資源</w:t>
            </w:r>
          </w:p>
        </w:tc>
      </w:tr>
    </w:tbl>
    <w:p w14:paraId="58B1E5C3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</w:pP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  <w:t>引言：歡迎來到博士階段</w:t>
      </w:r>
    </w:p>
    <w:p w14:paraId="652F008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祝賀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開啟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術博士之旅。  </w:t>
      </w:r>
    </w:p>
    <w:p w14:paraId="17EAA05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D862D4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本指南是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未來幾年的實用伴侶——它不是剛性的使用手冊，而是一份靈活的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研修</w:t>
      </w:r>
      <w:r>
        <w:rPr>
          <w:rFonts w:hint="eastAsia" w:ascii="PingFang TC Regular" w:hAnsi="PingFang TC Regular" w:eastAsia="PingFang TC Regular" w:cs="PingFang TC Regular"/>
          <w:highlight w:val="none"/>
        </w:rPr>
        <w:t>路線圖，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旨在伴隨你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的研究和藝術實踐一同成長。  </w:t>
      </w:r>
    </w:p>
    <w:p w14:paraId="04E1746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58D7DF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它旨在幫助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規劃研究領域、準備重要里程碑和考核，並將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的藝術實踐、研究與寫作整合成一個連貫的作品體系和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一次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自信的論文答辯。  </w:t>
      </w:r>
    </w:p>
    <w:p w14:paraId="188D13D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754D83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88C9B13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 xml:space="preserve">什麼是實踐型藝術博士？  </w:t>
      </w:r>
    </w:p>
    <w:p w14:paraId="6B0FA6B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實踐型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</w:t>
      </w:r>
      <w:r>
        <w:rPr>
          <w:rFonts w:hint="eastAsia" w:ascii="PingFang TC Regular" w:hAnsi="PingFang TC Regular" w:eastAsia="PingFang TC Regular" w:cs="PingFang TC Regular"/>
          <w:highlight w:val="none"/>
        </w:rPr>
        <w:t>術博士學位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（Practice-Based Doctorate in Fine Art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, DFA）</w:t>
      </w:r>
      <w:r>
        <w:rPr>
          <w:rFonts w:hint="eastAsia" w:ascii="PingFang TC Regular" w:hAnsi="PingFang TC Regular" w:eastAsia="PingFang TC Regular" w:cs="PingFang TC Regular"/>
          <w:highlight w:val="none"/>
        </w:rPr>
        <w:t>與傳統博士學位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PhD）</w:t>
      </w:r>
      <w:r>
        <w:rPr>
          <w:rFonts w:hint="eastAsia" w:ascii="PingFang TC Regular" w:hAnsi="PingFang TC Regular" w:eastAsia="PingFang TC Regular" w:cs="PingFang TC Regular"/>
          <w:highlight w:val="none"/>
        </w:rPr>
        <w:t>有著根本區別。實踐型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</w:t>
      </w:r>
      <w:r>
        <w:rPr>
          <w:rFonts w:hint="eastAsia" w:ascii="PingFang TC Regular" w:hAnsi="PingFang TC Regular" w:eastAsia="PingFang TC Regular" w:cs="PingFang TC Regular"/>
          <w:highlight w:val="none"/>
        </w:rPr>
        <w:t>術博士強調藝術實踐是探究的核心，並靈活地從跨學科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中</w:t>
      </w:r>
      <w:r>
        <w:rPr>
          <w:rFonts w:hint="eastAsia" w:ascii="PingFang TC Regular" w:hAnsi="PingFang TC Regular" w:eastAsia="PingFang TC Regular" w:cs="PingFang TC Regular"/>
          <w:highlight w:val="none"/>
        </w:rPr>
        <w:t>汲取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資源</w:t>
      </w:r>
      <w:r>
        <w:rPr>
          <w:rFonts w:hint="eastAsia" w:ascii="PingFang TC Regular" w:hAnsi="PingFang TC Regular" w:eastAsia="PingFang TC Regular" w:cs="PingFang TC Regular"/>
          <w:highlight w:val="none"/>
        </w:rPr>
        <w:t>，以激發和深化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的創作工作。  </w:t>
      </w:r>
    </w:p>
    <w:p w14:paraId="56EC0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1687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在實踐型藝術博士中：  </w:t>
      </w:r>
    </w:p>
    <w:p w14:paraId="2335DE9C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0" w:leftChars="0" w:right="0" w:righ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研究問題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产生于你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持續進行的藝術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創作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，並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經由你的創作得以被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 xml:space="preserve">探索  </w:t>
      </w:r>
    </w:p>
    <w:p w14:paraId="35819AD4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0" w:leftChars="0" w:right="0" w:righ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最終提交的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研究成果，將結合1.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大量創作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實踐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（展覽、裝置、表演）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和2.一篇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對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這些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實踐進行批判反思、語境化並理論化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書面論文</w:t>
      </w:r>
    </w:p>
    <w:p w14:paraId="38DB20F1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研究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成果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將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接受整體評估：考官同時評估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 xml:space="preserve">藝術價值和學術嚴謹性  </w:t>
      </w:r>
    </w:p>
    <w:p w14:paraId="03642C02">
      <w:pPr>
        <w:keepNext w:val="0"/>
        <w:keepLines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知識通過</w:t>
      </w:r>
      <w:r>
        <w:rPr>
          <w:rFonts w:hint="eastAsia" w:ascii="PingFang TC Regular" w:hAnsi="PingFang TC Regular" w:eastAsia="PingFang TC Regular" w:cs="PingFang TC Regular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親身行動的</w:t>
      </w:r>
      <w:r>
        <w:rPr>
          <w:rFonts w:hint="eastAsia" w:ascii="PingFang TC Regular" w:hAnsi="PingFang TC Regular" w:eastAsia="PingFang TC Regular" w:cs="PingFang TC Regular"/>
          <w:color w:val="000000" w:themeColor="text1"/>
          <w:kern w:val="2"/>
          <w:sz w:val="24"/>
          <w:szCs w:val="24"/>
          <w:vertAlign w:val="superscript"/>
          <w:lang w:val="en-US" w:eastAsia="zh-TW" w:bidi="ar-SA"/>
          <w14:textFill>
            <w14:solidFill>
              <w14:schemeClr w14:val="tx1"/>
            </w14:solidFill>
          </w14:textFill>
          <w14:ligatures w14:val="standardContextual"/>
        </w:rPr>
        <w:footnoteReference w:id="0"/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、體驗性的、通常是非語言的方式產生——挑戰傳統學術範式的同時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又能符合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滿足博士標準</w:t>
      </w:r>
    </w:p>
    <w:p w14:paraId="41CB045B">
      <w:pPr>
        <w:keepNext w:val="0"/>
        <w:keepLines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186423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的藝術實踐始終是核心，但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也將成長為一名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“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研究型</w:t>
      </w:r>
      <w:r>
        <w:rPr>
          <w:rFonts w:hint="eastAsia" w:ascii="PingFang TC Regular" w:hAnsi="PingFang TC Regular" w:eastAsia="PingFang TC Regular" w:cs="PingFang TC Regular"/>
          <w:highlight w:val="none"/>
        </w:rPr>
        <w:t>藝術家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”</w:t>
      </w:r>
      <w:r>
        <w:rPr>
          <w:rStyle w:val="21"/>
          <w:rFonts w:hint="eastAsia" w:ascii="PingFang TC Regular" w:hAnsi="PingFang TC Regular" w:eastAsia="PingFang TC Regular" w:cs="PingFang TC Regular"/>
          <w:highlight w:val="none"/>
          <w:lang w:eastAsia="zh-CN"/>
        </w:rPr>
        <w:footnoteReference w:id="1"/>
      </w:r>
      <w:r>
        <w:rPr>
          <w:rFonts w:hint="eastAsia" w:ascii="PingFang TC Regular" w:hAnsi="PingFang TC Regular" w:eastAsia="PingFang TC Regular" w:cs="PingFang TC Regular"/>
          <w:highlight w:val="none"/>
        </w:rPr>
        <w:t>，能夠闡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明源於</w:t>
      </w:r>
      <w:r>
        <w:rPr>
          <w:rFonts w:hint="eastAsia" w:ascii="PingFang TC Regular" w:hAnsi="PingFang TC Regular" w:eastAsia="PingFang TC Regular" w:cs="PingFang TC Regular"/>
          <w:highlight w:val="none"/>
        </w:rPr>
        <w:t>直覺的內容，審視自己的創作過程，並將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的作品置於與理論和其他實踐的對話之中。</w:t>
      </w:r>
    </w:p>
    <w:p w14:paraId="7F5638E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</w:t>
      </w:r>
    </w:p>
    <w:p w14:paraId="32DD91D9">
      <w:pPr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PingFang TC Regular" w:hAnsi="PingFang TC Regular" w:eastAsia="PingFang TC Regular" w:cs="PingFang TC Regular"/>
          <w:highlight w:val="none"/>
        </w:rPr>
        <w:t>重要的是，實踐型藝術博士並非藝術史或藝術理論的博士學位。其目標不是將藝術家轉變為研究他人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作品</w:t>
      </w:r>
      <w:r>
        <w:rPr>
          <w:rFonts w:hint="eastAsia" w:ascii="PingFang TC Regular" w:hAnsi="PingFang TC Regular" w:eastAsia="PingFang TC Regular" w:cs="PingFang TC Regular"/>
          <w:highlight w:val="none"/>
        </w:rPr>
        <w:t>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過往歷史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作品的學術研究者，從而分散對自身創作的關注。 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相反，它使你能夠對自己的創作進行批判性反思與分析。透過這一過程，你將建立更深層的概念理解，強化你的藝術主張，並創作出更具辨識度且更具連貫性的系列作品。</w:t>
      </w:r>
    </w:p>
    <w:p w14:paraId="741F244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ADE300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這一過程包含針對你創作產出的持續評議與研討，並輔以對你在口頭及書面闡述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藝術及學識</w:t>
      </w:r>
      <w:r>
        <w:rPr>
          <w:rFonts w:hint="eastAsia" w:ascii="PingFang TC Regular" w:hAnsi="PingFang TC Regular" w:eastAsia="PingFang TC Regular" w:cs="PingFang TC Regular"/>
          <w:highlight w:val="none"/>
        </w:rPr>
        <w:t>能力的訓練。它旨在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幫助</w:t>
      </w:r>
      <w:r>
        <w:rPr>
          <w:rFonts w:hint="eastAsia" w:ascii="PingFang TC Regular" w:hAnsi="PingFang TC Regular" w:eastAsia="PingFang TC Regular" w:cs="PingFang TC Regular"/>
          <w:highlight w:val="none"/>
        </w:rPr>
        <w:t>你對個人創作軌跡的探索，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對</w:t>
      </w:r>
      <w:r>
        <w:rPr>
          <w:rFonts w:hint="eastAsia" w:ascii="PingFang TC Regular" w:hAnsi="PingFang TC Regular" w:eastAsia="PingFang TC Regular" w:cs="PingFang TC Regular"/>
          <w:highlight w:val="none"/>
        </w:rPr>
        <w:t>自身優勢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的發現</w:t>
      </w:r>
      <w:r>
        <w:rPr>
          <w:rFonts w:hint="eastAsia" w:ascii="PingFang TC Regular" w:hAnsi="PingFang TC Regular" w:eastAsia="PingFang TC Regular" w:cs="PingFang TC Regular"/>
          <w:highlight w:val="none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以及幫助你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發展出風格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及</w:t>
      </w:r>
      <w:r>
        <w:rPr>
          <w:rFonts w:hint="eastAsia" w:ascii="PingFang TC Regular" w:hAnsi="PingFang TC Regular" w:eastAsia="PingFang TC Regular" w:cs="PingFang TC Regular"/>
          <w:highlight w:val="none"/>
        </w:rPr>
        <w:t>概念上連貫的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獨特</w:t>
      </w:r>
      <w:r>
        <w:rPr>
          <w:rFonts w:hint="eastAsia" w:ascii="PingFang TC Regular" w:hAnsi="PingFang TC Regular" w:eastAsia="PingFang TC Regular" w:cs="PingFang TC Regular"/>
          <w:highlight w:val="none"/>
        </w:rPr>
        <w:t>作品體系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。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</w:t>
      </w:r>
    </w:p>
    <w:p w14:paraId="37519A7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72B5B4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配套的書面論文將嚴格分析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的藝術方法和概念維度，在保持實踐為本的同時，達到博士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能力的</w:t>
      </w:r>
      <w:r>
        <w:rPr>
          <w:rFonts w:hint="eastAsia" w:ascii="PingFang TC Regular" w:hAnsi="PingFang TC Regular" w:eastAsia="PingFang TC Regular" w:cs="PingFang TC Regular"/>
          <w:highlight w:val="none"/>
        </w:rPr>
        <w:t>水準。此外，參與國內或國際的評審/策展展覽及競賽，是呈現研究成果的重要方式，相當於其他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學科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的學術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文章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發表。  </w:t>
      </w:r>
    </w:p>
    <w:p w14:paraId="634A8E1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DE6101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b/>
          <w:bCs/>
          <w:highlight w:val="none"/>
        </w:rPr>
        <w:t>注：</w:t>
      </w:r>
      <w:r>
        <w:rPr>
          <w:rFonts w:hint="eastAsia" w:ascii="PingFang TC Regular" w:hAnsi="PingFang TC Regular" w:eastAsia="PingFang TC Regular" w:cs="PingFang TC Regular"/>
          <w:highlight w:val="none"/>
        </w:rPr>
        <w:t>請參閱附錄中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藝術博士</w:t>
      </w:r>
      <w:r>
        <w:rPr>
          <w:rFonts w:hint="eastAsia" w:ascii="PingFang TC Regular" w:hAnsi="PingFang TC Regular" w:eastAsia="PingFang TC Regular" w:cs="PingFang TC Regular"/>
          <w:highlight w:val="none"/>
        </w:rPr>
        <w:t>書面論文的典型大綱。</w:t>
      </w:r>
    </w:p>
    <w:p w14:paraId="2E752E7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4F0BB76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93F926F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核心考核節點</w:t>
      </w:r>
    </w:p>
    <w:p w14:paraId="6462E70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大多數實踐型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</w:t>
      </w:r>
      <w:r>
        <w:rPr>
          <w:rFonts w:hint="eastAsia" w:ascii="PingFang TC Regular" w:hAnsi="PingFang TC Regular" w:eastAsia="PingFang TC Regular" w:cs="PingFang TC Regular"/>
          <w:highlight w:val="none"/>
        </w:rPr>
        <w:t>術博士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課程，</w:t>
      </w:r>
      <w:r>
        <w:rPr>
          <w:rFonts w:hint="eastAsia" w:ascii="PingFang TC Regular" w:hAnsi="PingFang TC Regular" w:eastAsia="PingFang TC Regular" w:cs="PingFang TC Regular"/>
          <w:highlight w:val="none"/>
        </w:rPr>
        <w:t>包含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3</w:t>
      </w:r>
      <w:r>
        <w:rPr>
          <w:rFonts w:hint="eastAsia" w:ascii="PingFang TC Regular" w:hAnsi="PingFang TC Regular" w:eastAsia="PingFang TC Regular" w:cs="PingFang TC Regular"/>
          <w:highlight w:val="none"/>
        </w:rPr>
        <w:t>個用於標記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進展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主要評估節點。雖然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其</w:t>
      </w:r>
      <w:r>
        <w:rPr>
          <w:rFonts w:hint="eastAsia" w:ascii="PingFang TC Regular" w:hAnsi="PingFang TC Regular" w:eastAsia="PingFang TC Regular" w:cs="PingFang TC Regular"/>
          <w:highlight w:val="none"/>
        </w:rPr>
        <w:t>具體名稱、時間和要求可能因學校而異，但以下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評估</w:t>
      </w:r>
      <w:r>
        <w:rPr>
          <w:rFonts w:hint="eastAsia" w:ascii="PingFang TC Regular" w:hAnsi="PingFang TC Regular" w:eastAsia="PingFang TC Regular" w:cs="PingFang TC Regular"/>
          <w:highlight w:val="none"/>
        </w:rPr>
        <w:t>結構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較為常見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：  </w:t>
      </w:r>
    </w:p>
    <w:p w14:paraId="2EFDE9D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17BC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資格考試（QE） </w:t>
      </w:r>
    </w:p>
    <w:p w14:paraId="0998ED7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通常安排在第二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學</w:t>
      </w:r>
      <w:r>
        <w:rPr>
          <w:rFonts w:hint="eastAsia" w:ascii="PingFang TC Regular" w:hAnsi="PingFang TC Regular" w:eastAsia="PingFang TC Regular" w:cs="PingFang TC Regular"/>
          <w:highlight w:val="none"/>
        </w:rPr>
        <w:t>年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。</w:t>
      </w:r>
      <w:r>
        <w:rPr>
          <w:rFonts w:hint="eastAsia" w:ascii="PingFang TC Regular" w:hAnsi="PingFang TC Regular" w:eastAsia="PingFang TC Regular" w:cs="PingFang TC Regular"/>
          <w:highlight w:val="none"/>
        </w:rPr>
        <w:t>這是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一個</w:t>
      </w:r>
      <w:r>
        <w:rPr>
          <w:rFonts w:hint="eastAsia" w:ascii="PingFang TC Regular" w:hAnsi="PingFang TC Regular" w:eastAsia="PingFang TC Regular" w:cs="PingFang TC Regular"/>
          <w:highlight w:val="none"/>
        </w:rPr>
        <w:t>早期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檢驗節</w:t>
      </w:r>
      <w:r>
        <w:rPr>
          <w:rFonts w:hint="eastAsia" w:ascii="PingFang TC Regular" w:hAnsi="PingFang TC Regular" w:eastAsia="PingFang TC Regular" w:cs="PingFang TC Regular"/>
          <w:highlight w:val="none"/>
        </w:rPr>
        <w:t>點，用於評估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的初步研究方向、實踐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的進行情況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以及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獨立開展博士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水準的創作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>的準備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狀況</w:t>
      </w:r>
      <w:r>
        <w:rPr>
          <w:rFonts w:hint="eastAsia" w:ascii="PingFang TC Regular" w:hAnsi="PingFang TC Regular" w:eastAsia="PingFang TC Regular" w:cs="PingFang TC Regular"/>
          <w:highlight w:val="none"/>
        </w:rPr>
        <w:t>。通常以初步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博士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提案答辯的形式進行。  </w:t>
      </w:r>
    </w:p>
    <w:p w14:paraId="05284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5B73F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  <w14:ligatures w14:val="standardContextual"/>
        </w:rPr>
        <w:t>開題（Thesis Proposal Assessment, TPA）</w:t>
      </w:r>
    </w:p>
    <w:p w14:paraId="44E94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通常安排在第三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學</w:t>
      </w:r>
      <w:r>
        <w:rPr>
          <w:rFonts w:hint="eastAsia" w:ascii="PingFang TC Regular" w:hAnsi="PingFang TC Regular" w:eastAsia="PingFang TC Regular" w:cs="PingFang TC Regular"/>
          <w:highlight w:val="none"/>
        </w:rPr>
        <w:t>年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。</w:t>
      </w:r>
      <w:r>
        <w:rPr>
          <w:rFonts w:hint="eastAsia" w:ascii="PingFang TC Regular" w:hAnsi="PingFang TC Regular" w:eastAsia="PingFang TC Regular" w:cs="PingFang TC Regular"/>
          <w:highlight w:val="none"/>
        </w:rPr>
        <w:t>這是對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研究計畫更正式的審查。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通常需提交書面提案（常為3,000–5,000字）並在評審小組前進行答辯。成功通過此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你將獲得</w:t>
      </w:r>
      <w:r>
        <w:rPr>
          <w:rFonts w:hint="eastAsia" w:ascii="PingFang TC Regular" w:hAnsi="PingFang TC Regular" w:eastAsia="PingFang TC Regular" w:cs="PingFang TC Regular"/>
          <w:highlight w:val="none"/>
        </w:rPr>
        <w:t>博士候選人身份，並允許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全面推進論文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發展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。  </w:t>
      </w:r>
    </w:p>
    <w:p w14:paraId="28BBC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63221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畢業展覽與論文答辯  </w:t>
      </w:r>
    </w:p>
    <w:p w14:paraId="3C78DDF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這是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博士課程</w:t>
      </w:r>
      <w:r>
        <w:rPr>
          <w:rFonts w:hint="eastAsia" w:ascii="PingFang TC Regular" w:hAnsi="PingFang TC Regular" w:eastAsia="PingFang TC Regular" w:cs="PingFang TC Regular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高潮時刻</w:t>
      </w:r>
      <w:r>
        <w:rPr>
          <w:rFonts w:hint="eastAsia" w:ascii="PingFang TC Regular" w:hAnsi="PingFang TC Regular" w:eastAsia="PingFang TC Regular" w:cs="PingFang TC Regular"/>
          <w:highlight w:val="none"/>
        </w:rPr>
        <w:t>，通常在第四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學年</w:t>
      </w:r>
      <w:r>
        <w:rPr>
          <w:rFonts w:hint="eastAsia" w:ascii="PingFang TC Regular" w:hAnsi="PingFang TC Regular" w:eastAsia="PingFang TC Regular" w:cs="PingFang TC Regular"/>
          <w:highlight w:val="none"/>
        </w:rPr>
        <w:t>末進行。包括公開展覽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以</w:t>
      </w:r>
      <w:r>
        <w:rPr>
          <w:rFonts w:hint="eastAsia" w:ascii="PingFang TC Regular" w:hAnsi="PingFang TC Regular" w:eastAsia="PingFang TC Regular" w:cs="PingFang TC Regular"/>
          <w:highlight w:val="none"/>
        </w:rPr>
        <w:t>展示</w:t>
      </w:r>
      <w:bookmarkStart w:id="0" w:name="_GoBack"/>
      <w:bookmarkEnd w:id="0"/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的創作成果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提交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</w:t>
      </w:r>
      <w:r>
        <w:rPr>
          <w:rFonts w:hint="eastAsia" w:ascii="PingFang TC Regular" w:hAnsi="PingFang TC Regular" w:eastAsia="PingFang TC Regular" w:cs="PingFang TC Regular"/>
          <w:highlight w:val="none"/>
        </w:rPr>
        <w:t>書面論文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以及進行論文</w:t>
      </w:r>
      <w:r>
        <w:rPr>
          <w:rFonts w:hint="eastAsia" w:ascii="PingFang TC Regular" w:hAnsi="PingFang TC Regular" w:eastAsia="PingFang TC Regular" w:cs="PingFang TC Regular"/>
          <w:highlight w:val="none"/>
        </w:rPr>
        <w:t>答辯。考官將評估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1.你創作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>的藝術價值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；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2.你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書面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論文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的學術嚴謹性。  </w:t>
      </w:r>
    </w:p>
    <w:p w14:paraId="3812606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BB3549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上述的過程皆為</w:t>
      </w:r>
      <w:r>
        <w:rPr>
          <w:rFonts w:hint="eastAsia" w:ascii="PingFang TC Regular" w:hAnsi="PingFang TC Regular" w:eastAsia="PingFang TC Regular" w:cs="PingFang TC Regular"/>
          <w:highlight w:val="none"/>
        </w:rPr>
        <w:t>重要的結構化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節</w:t>
      </w:r>
      <w:r>
        <w:rPr>
          <w:rFonts w:hint="eastAsia" w:ascii="PingFang TC Regular" w:hAnsi="PingFang TC Regular" w:eastAsia="PingFang TC Regular" w:cs="PingFang TC Regular"/>
          <w:highlight w:val="none"/>
        </w:rPr>
        <w:t>點，而僵化的障礙。它們旨在為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提供定期回饋、確保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你的項目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按計畫推進，並為最終考核做好準備。  </w:t>
      </w:r>
    </w:p>
    <w:p w14:paraId="12E8330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55E0C9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b/>
          <w:bCs/>
          <w:highlight w:val="none"/>
          <w:lang w:val="en-US" w:eastAsia="zh-CN"/>
        </w:rPr>
        <w:t>注意</w:t>
      </w:r>
      <w:r>
        <w:rPr>
          <w:rFonts w:hint="eastAsia" w:ascii="PingFang TC Regular" w:hAnsi="PingFang TC Regular" w:eastAsia="PingFang TC Regular" w:cs="PingFang TC Regular"/>
          <w:b/>
          <w:bCs/>
          <w:highlight w:val="none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</w:rPr>
        <w:t>不同大學的要求和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過程或許相異很大</w:t>
      </w:r>
      <w:r>
        <w:rPr>
          <w:rFonts w:hint="eastAsia" w:ascii="PingFang TC Regular" w:hAnsi="PingFang TC Regular" w:eastAsia="PingFang TC Regular" w:cs="PingFang TC Regular"/>
          <w:highlight w:val="none"/>
        </w:rPr>
        <w:t>。請儘早查閱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所在機構的規章制度，並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在博士早期階段多</w:t>
      </w:r>
      <w:r>
        <w:rPr>
          <w:rFonts w:hint="eastAsia" w:ascii="PingFang TC Regular" w:hAnsi="PingFang TC Regular" w:eastAsia="PingFang TC Regular" w:cs="PingFang TC Regular"/>
          <w:highlight w:val="none"/>
        </w:rPr>
        <w:t>與導師討論。</w:t>
      </w:r>
    </w:p>
    <w:p w14:paraId="1B9DE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8096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如何使用本指南 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：</w:t>
      </w:r>
    </w:p>
    <w:p w14:paraId="682174D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本指南遵循實踐型博士的自然進程：從早期的基礎探索，到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確定</w:t>
      </w:r>
      <w:r>
        <w:rPr>
          <w:rFonts w:hint="eastAsia" w:ascii="PingFang TC Regular" w:hAnsi="PingFang TC Regular" w:eastAsia="PingFang TC Regular" w:cs="PingFang TC Regular"/>
          <w:highlight w:val="none"/>
        </w:rPr>
        <w:t>和深化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研究，再到論文發展和最終答辯。  </w:t>
      </w:r>
    </w:p>
    <w:p w14:paraId="6FC3F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0AA8C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你可以：  </w:t>
      </w:r>
    </w:p>
    <w:p w14:paraId="77B360E6">
      <w:pPr>
        <w:keepNext w:val="0"/>
        <w:keepLines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按時間順序跟隨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本指南</w:t>
      </w:r>
      <w:r>
        <w:rPr>
          <w:rFonts w:hint="eastAsia" w:ascii="PingFang TC Regular" w:hAnsi="PingFang TC Regular" w:eastAsia="PingFang TC Regular" w:cs="PingFang TC Regular"/>
          <w:highlight w:val="none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用</w:t>
      </w:r>
      <w:r>
        <w:rPr>
          <w:rFonts w:hint="eastAsia" w:ascii="PingFang TC Regular" w:hAnsi="PingFang TC Regular" w:eastAsia="PingFang TC Regular" w:cs="PingFang TC Regular"/>
          <w:highlight w:val="none"/>
        </w:rPr>
        <w:t>在每個學年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開始的時候，</w:t>
      </w:r>
      <w:r>
        <w:rPr>
          <w:rFonts w:hint="eastAsia" w:ascii="PingFang TC Regular" w:hAnsi="PingFang TC Regular" w:eastAsia="PingFang TC Regular" w:cs="PingFang TC Regular"/>
          <w:highlight w:val="none"/>
        </w:rPr>
        <w:t>為自己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找到方向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</w:t>
      </w:r>
    </w:p>
    <w:p w14:paraId="1CFD42FC">
      <w:pPr>
        <w:keepNext w:val="0"/>
        <w:keepLines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根據具體需要深入專題部分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例如</w:t>
      </w:r>
      <w:r>
        <w:rPr>
          <w:rFonts w:hint="eastAsia" w:ascii="PingFang TC Regular" w:hAnsi="PingFang TC Regular" w:eastAsia="PingFang TC Regular" w:cs="PingFang TC Regular"/>
          <w:highlight w:val="none"/>
        </w:rPr>
        <w:t>方法論、健康、寫作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等部分）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</w:t>
      </w:r>
    </w:p>
    <w:p w14:paraId="1B657AE3">
      <w:pPr>
        <w:keepNext w:val="0"/>
        <w:keepLines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使用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本指南提供的各種引用資訊及</w:t>
      </w:r>
      <w:r>
        <w:rPr>
          <w:rFonts w:hint="eastAsia" w:ascii="PingFang TC Regular" w:hAnsi="PingFang TC Regular" w:eastAsia="PingFang TC Regular" w:cs="PingFang TC Regular"/>
          <w:highlight w:val="none"/>
        </w:rPr>
        <w:t>附錄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（</w:t>
      </w:r>
      <w:r>
        <w:rPr>
          <w:rFonts w:hint="eastAsia" w:ascii="PingFang TC Regular" w:hAnsi="PingFang TC Regular" w:eastAsia="PingFang TC Regular" w:cs="PingFang TC Regular"/>
          <w:highlight w:val="none"/>
        </w:rPr>
        <w:t>術語表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參考資源等）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進行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更全面的利用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</w:t>
      </w:r>
    </w:p>
    <w:p w14:paraId="473C201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4B000A7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i/>
          <w:iCs/>
          <w:highlight w:val="none"/>
        </w:rPr>
      </w:pP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請將本指南視為一份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不斷生長的活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文檔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吧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添加你的評論、劃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出引起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共鳴的段落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加入你的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反思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尤其當你的某個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關鍵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節點結束後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。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請時常回顧本冊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各個部分——在第一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eastAsia="zh-TW"/>
        </w:rPr>
        <w:t>學年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你還感到模糊的，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可能在第三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eastAsia="zh-TW"/>
        </w:rPr>
        <w:t>學年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就會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變得緊迫。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期待你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回饋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因為它們將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有助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  <w:lang w:val="en-US" w:eastAsia="zh-CN"/>
        </w:rPr>
        <w:t>繼續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於改進本指南。</w:t>
      </w:r>
    </w:p>
    <w:p w14:paraId="395B317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i/>
          <w:iCs/>
          <w:highlight w:val="none"/>
        </w:rPr>
      </w:pPr>
    </w:p>
    <w:p w14:paraId="72FD78E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i/>
          <w:iCs/>
          <w:highlight w:val="none"/>
        </w:rPr>
      </w:pPr>
    </w:p>
    <w:p w14:paraId="121A046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i/>
          <w:iCs/>
          <w:highlight w:val="none"/>
        </w:rPr>
      </w:pPr>
    </w:p>
    <w:p w14:paraId="09AE0BC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</w:pP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  <w:t>第一部分：基礎（第1-2</w:t>
      </w: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val="en-US" w:eastAsia="zh-CN"/>
        </w:rPr>
        <w:t>學</w:t>
      </w: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  <w:t>年）</w:t>
      </w:r>
    </w:p>
    <w:p w14:paraId="2D7340C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highlight w:val="none"/>
        </w:rPr>
      </w:pPr>
    </w:p>
    <w:p w14:paraId="6AE2CCE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highlight w:val="none"/>
        </w:rPr>
      </w:pPr>
    </w:p>
    <w:p w14:paraId="0B52C96C">
      <w:pPr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  <w14:ligatures w14:val="standardContextual"/>
        </w:rPr>
        <w:t>「科學與藝術的總體系就像是一座迷宮，一條曲折的小徑；理智進入其中，卻並不完全清楚該選擇哪條路……」</w:t>
      </w:r>
    </w:p>
    <w:p w14:paraId="1D765877">
      <w:pPr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</w:rPr>
      </w:pP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2"/>
          <w:szCs w:val="22"/>
          <w:u w:val="none"/>
          <w:lang w:val="en-US" w:eastAsia="zh-CN" w:bidi="ar"/>
          <w14:ligatures w14:val="standardContextual"/>
        </w:rPr>
        <w:t>—— 讓・勒朗・達朗貝爾（Jean d'Alembert）（1751 年）</w:t>
      </w:r>
    </w:p>
    <w:p w14:paraId="26F26E1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BFA5A1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FC833D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頭兩年對</w:t>
      </w:r>
      <w:r>
        <w:rPr>
          <w:rFonts w:hint="eastAsia" w:ascii="PingFang TC Regular" w:hAnsi="PingFang TC Regular" w:eastAsia="PingFang TC Regular" w:cs="PingFang TC Regular"/>
          <w:highlight w:val="none"/>
        </w:rPr>
        <w:t>實踐型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</w:t>
      </w:r>
      <w:r>
        <w:rPr>
          <w:rFonts w:hint="eastAsia" w:ascii="PingFang TC Regular" w:hAnsi="PingFang TC Regular" w:eastAsia="PingFang TC Regular" w:cs="PingFang TC Regular"/>
          <w:highlight w:val="none"/>
        </w:rPr>
        <w:t>術博士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而言，是</w:t>
      </w:r>
      <w:r>
        <w:rPr>
          <w:rFonts w:hint="eastAsia" w:ascii="PingFang TC Regular" w:hAnsi="PingFang TC Regular" w:eastAsia="PingFang TC Regular" w:cs="PingFang TC Regular"/>
          <w:highlight w:val="none"/>
        </w:rPr>
        <w:t>至關重要的基礎階段。此時，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既要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完成指定</w:t>
      </w:r>
      <w:r>
        <w:rPr>
          <w:rFonts w:hint="eastAsia" w:ascii="PingFang TC Regular" w:hAnsi="PingFang TC Regular" w:eastAsia="PingFang TC Regular" w:cs="PingFang TC Regular"/>
          <w:highlight w:val="none"/>
        </w:rPr>
        <w:t>課程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學習，也要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慢慢做好</w:t>
      </w:r>
      <w:r>
        <w:rPr>
          <w:rFonts w:hint="eastAsia" w:ascii="PingFang TC Regular" w:hAnsi="PingFang TC Regular" w:eastAsia="PingFang TC Regular" w:cs="PingFang TC Regular"/>
          <w:highlight w:val="none"/>
        </w:rPr>
        <w:t>自己的藝術實踐——先求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廣泛流覽</w:t>
      </w:r>
      <w:r>
        <w:rPr>
          <w:rFonts w:hint="eastAsia" w:ascii="PingFang TC Regular" w:hAnsi="PingFang TC Regular" w:eastAsia="PingFang TC Regular" w:cs="PingFang TC Regular"/>
          <w:highlight w:val="none"/>
        </w:rPr>
        <w:t>，再求深度。到第二學年末，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通常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需</w:t>
      </w:r>
      <w:r>
        <w:rPr>
          <w:rFonts w:hint="eastAsia" w:ascii="PingFang TC Regular" w:hAnsi="PingFang TC Regular" w:eastAsia="PingFang TC Regular" w:cs="PingFang TC Regular"/>
          <w:highlight w:val="none"/>
        </w:rPr>
        <w:t>參加資格考試（QE）——這是一次初步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的博士</w:t>
      </w:r>
      <w:r>
        <w:rPr>
          <w:rFonts w:hint="eastAsia" w:ascii="PingFang TC Regular" w:hAnsi="PingFang TC Regular" w:eastAsia="PingFang TC Regular" w:cs="PingFang TC Regular"/>
          <w:highlight w:val="none"/>
        </w:rPr>
        <w:t>提案答辯，用於評估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的初始研究方向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以及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你對成為</w:t>
      </w:r>
      <w:r>
        <w:rPr>
          <w:rFonts w:hint="eastAsia" w:ascii="PingFang TC Regular" w:hAnsi="PingFang TC Regular" w:eastAsia="PingFang TC Regular" w:cs="PingFang TC Regular"/>
          <w:highlight w:val="none"/>
        </w:rPr>
        <w:t>博士候選人的準備情況。</w:t>
      </w:r>
    </w:p>
    <w:p w14:paraId="283D49C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C81F20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EF014A7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尋找你的方向</w:t>
      </w:r>
    </w:p>
    <w:p w14:paraId="724C228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第一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學年</w:t>
      </w:r>
      <w:r>
        <w:rPr>
          <w:rFonts w:hint="eastAsia" w:ascii="PingFang TC Regular" w:hAnsi="PingFang TC Regular" w:eastAsia="PingFang TC Regular" w:cs="PingFang TC Regular"/>
          <w:highlight w:val="none"/>
        </w:rPr>
        <w:t>是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廣泛涉獵</w:t>
      </w:r>
      <w:r>
        <w:rPr>
          <w:rFonts w:hint="eastAsia" w:ascii="PingFang TC Regular" w:hAnsi="PingFang TC Regular" w:eastAsia="PingFang TC Regular" w:cs="PingFang TC Regular"/>
          <w:highlight w:val="none"/>
        </w:rPr>
        <w:t>與發現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的美好</w:t>
      </w:r>
      <w:r>
        <w:rPr>
          <w:rFonts w:hint="eastAsia" w:ascii="PingFang TC Regular" w:hAnsi="PingFang TC Regular" w:eastAsia="PingFang TC Regular" w:cs="PingFang TC Regular"/>
          <w:highlight w:val="none"/>
        </w:rPr>
        <w:t>時期。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不再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僅僅</w:t>
      </w:r>
      <w:r>
        <w:rPr>
          <w:rFonts w:hint="eastAsia" w:ascii="PingFang TC Regular" w:hAnsi="PingFang TC Regular" w:eastAsia="PingFang TC Regular" w:cs="PingFang TC Regular"/>
          <w:highlight w:val="none"/>
        </w:rPr>
        <w:t>創作，而是開始學習如何將自己的作品置於更廣泛的批判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、歷史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和文化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的話語</w:t>
      </w:r>
      <w:r>
        <w:rPr>
          <w:rFonts w:hint="eastAsia" w:ascii="PingFang TC Regular" w:hAnsi="PingFang TC Regular" w:eastAsia="PingFang TC Regular" w:cs="PingFang TC Regular"/>
          <w:highlight w:val="none"/>
        </w:rPr>
        <w:t>之中。</w:t>
      </w:r>
    </w:p>
    <w:p w14:paraId="44D2B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30F35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充分利用你的課程學習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：</w:t>
      </w:r>
    </w:p>
    <w:p w14:paraId="6BE4A87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請</w:t>
      </w:r>
      <w:r>
        <w:rPr>
          <w:rFonts w:hint="eastAsia" w:ascii="PingFang TC Regular" w:hAnsi="PingFang TC Regular" w:eastAsia="PingFang TC Regular" w:cs="PingFang TC Regular"/>
          <w:highlight w:val="none"/>
        </w:rPr>
        <w:t>充分參與必修課程和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各種研討會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不要把它們視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為</w:t>
      </w:r>
      <w:r>
        <w:rPr>
          <w:rFonts w:hint="eastAsia" w:ascii="PingFang TC Regular" w:hAnsi="PingFang TC Regular" w:eastAsia="PingFang TC Regular" w:cs="PingFang TC Regular"/>
          <w:highlight w:val="none"/>
        </w:rPr>
        <w:t>干擾，而應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將</w:t>
      </w:r>
      <w:r>
        <w:rPr>
          <w:rFonts w:hint="eastAsia" w:ascii="PingFang TC Regular" w:hAnsi="PingFang TC Regular" w:eastAsia="PingFang TC Regular" w:cs="PingFang TC Regular"/>
          <w:highlight w:val="none"/>
        </w:rPr>
        <w:t>其視為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創作的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養分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將</w:t>
      </w:r>
      <w:r>
        <w:rPr>
          <w:rFonts w:hint="eastAsia" w:ascii="PingFang TC Regular" w:hAnsi="PingFang TC Regular" w:eastAsia="PingFang TC Regular" w:cs="PingFang TC Regular"/>
          <w:highlight w:val="none"/>
        </w:rPr>
        <w:t>課堂當作創作的延伸：思考經典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作品</w:t>
      </w:r>
      <w:r>
        <w:rPr>
          <w:rFonts w:hint="eastAsia" w:ascii="PingFang TC Regular" w:hAnsi="PingFang TC Regular" w:eastAsia="PingFang TC Regular" w:cs="PingFang TC Regular"/>
          <w:highlight w:val="none"/>
        </w:rPr>
        <w:t>如何與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你發</w:t>
      </w:r>
      <w:r>
        <w:rPr>
          <w:rFonts w:hint="eastAsia" w:ascii="PingFang TC Regular" w:hAnsi="PingFang TC Regular" w:eastAsia="PingFang TC Regular" w:cs="PingFang TC Regular"/>
          <w:highlight w:val="none"/>
        </w:rPr>
        <w:t>生關聯、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對</w:t>
      </w:r>
      <w:r>
        <w:rPr>
          <w:rFonts w:hint="eastAsia" w:ascii="PingFang TC Regular" w:hAnsi="PingFang TC Regular" w:eastAsia="PingFang TC Regular" w:cs="PingFang TC Regular"/>
          <w:highlight w:val="none"/>
        </w:rPr>
        <w:t>新材料與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新</w:t>
      </w:r>
      <w:r>
        <w:rPr>
          <w:rFonts w:hint="eastAsia" w:ascii="PingFang TC Regular" w:hAnsi="PingFang TC Regular" w:eastAsia="PingFang TC Regular" w:cs="PingFang TC Regular"/>
          <w:highlight w:val="none"/>
        </w:rPr>
        <w:t>想法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的實驗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用討論來</w:t>
      </w:r>
      <w:r>
        <w:rPr>
          <w:rFonts w:hint="eastAsia" w:ascii="PingFang TC Regular" w:hAnsi="PingFang TC Regular" w:eastAsia="PingFang TC Regular" w:cs="PingFang TC Regular"/>
          <w:highlight w:val="none"/>
        </w:rPr>
        <w:t>檢驗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新浮現的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想法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49D0716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451C18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平衡至關重要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</w:rPr>
        <w:t>在完成課程的同時，保持穩定的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>時間。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多</w:t>
      </w:r>
      <w:r>
        <w:rPr>
          <w:rFonts w:hint="eastAsia" w:ascii="PingFang TC Regular" w:hAnsi="PingFang TC Regular" w:eastAsia="PingFang TC Regular" w:cs="PingFang TC Regular"/>
          <w:highlight w:val="none"/>
        </w:rPr>
        <w:t>參加講座、展覽和活動，並使用專門的研究日誌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本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記錄那些讓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興奮或挑戰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你想法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的內容。</w:t>
      </w:r>
    </w:p>
    <w:p w14:paraId="053EC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72EA4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挖掘研究興趣：</w:t>
      </w:r>
    </w:p>
    <w:p w14:paraId="4DBA3B4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的核心研究問題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通常會從藝術實踐中自然浮現。第一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學年</w:t>
      </w:r>
      <w:r>
        <w:rPr>
          <w:rFonts w:hint="eastAsia" w:ascii="PingFang TC Regular" w:hAnsi="PingFang TC Regular" w:eastAsia="PingFang TC Regular" w:cs="PingFang TC Regular"/>
          <w:highlight w:val="none"/>
        </w:rPr>
        <w:t>，請專注於創作與反思：定期創作、全面記錄過程（草圖、照片、筆記、視頻），並留意反復出現的主題、材料或問題。</w:t>
      </w:r>
    </w:p>
    <w:p w14:paraId="39376F5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5EE0E4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將動手實踐與閱讀相結合。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先</w:t>
      </w:r>
      <w:r>
        <w:rPr>
          <w:rFonts w:hint="eastAsia" w:ascii="PingFang TC Regular" w:hAnsi="PingFang TC Regular" w:eastAsia="PingFang TC Regular" w:cs="PingFang TC Regular"/>
          <w:highlight w:val="none"/>
        </w:rPr>
        <w:t>從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你使用的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媒介或主題的關鍵文本開始，然後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再</w:t>
      </w:r>
      <w:r>
        <w:rPr>
          <w:rFonts w:hint="eastAsia" w:ascii="PingFang TC Regular" w:hAnsi="PingFang TC Regular" w:eastAsia="PingFang TC Regular" w:cs="PingFang TC Regular"/>
          <w:highlight w:val="none"/>
        </w:rPr>
        <w:t>擴展到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相關</w:t>
      </w:r>
      <w:r>
        <w:rPr>
          <w:rFonts w:hint="eastAsia" w:ascii="PingFang TC Regular" w:hAnsi="PingFang TC Regular" w:eastAsia="PingFang TC Regular" w:cs="PingFang TC Regular"/>
          <w:highlight w:val="none"/>
        </w:rPr>
        <w:t>藝術理論、哲學、文化研究或跨學科領域。</w:t>
      </w:r>
    </w:p>
    <w:p w14:paraId="65E0D05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8B7B02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推薦一本書：</w:t>
      </w:r>
      <w:r>
        <w:rPr>
          <w:rFonts w:hint="eastAsia" w:ascii="PingFang TC Regular" w:hAnsi="PingFang TC Regular" w:eastAsia="PingFang TC Regular" w:cs="PingFang TC Regular"/>
          <w:highlight w:val="none"/>
        </w:rPr>
        <w:t>莫提默·J·艾德勒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和</w:t>
      </w:r>
      <w:r>
        <w:rPr>
          <w:rFonts w:hint="eastAsia" w:ascii="PingFang TC Regular" w:hAnsi="PingFang TC Regular" w:eastAsia="PingFang TC Regular" w:cs="PingFang TC Regular"/>
          <w:highlight w:val="none"/>
        </w:rPr>
        <w:t>查爾斯·範多倫的《如何閱讀一本書》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（商務印書館，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2014年</w:t>
      </w:r>
      <w:r>
        <w:rPr>
          <w:rFonts w:hint="eastAsia" w:ascii="PingFang TC Regular" w:hAnsi="PingFang TC Regular" w:eastAsia="PingFang TC Regular" w:cs="PingFang TC Regular"/>
          <w:highlight w:val="none"/>
        </w:rPr>
        <w:t>），它概述了閱讀的漸進層次——從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快速</w:t>
      </w:r>
      <w:r>
        <w:rPr>
          <w:rFonts w:hint="eastAsia" w:ascii="PingFang TC Regular" w:hAnsi="PingFang TC Regular" w:eastAsia="PingFang TC Regular" w:cs="PingFang TC Regular"/>
          <w:highlight w:val="none"/>
        </w:rPr>
        <w:t>略讀到深度分析性閱讀。當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需要在密集理論與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>實驗之間取得平衡時，這項技能尤為寶貴。</w:t>
      </w:r>
    </w:p>
    <w:p w14:paraId="39621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5E2C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請定期自問：</w:t>
      </w:r>
    </w:p>
    <w:p w14:paraId="6D000361">
      <w:pPr>
        <w:keepNext w:val="0"/>
        <w:keepLines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我的實踐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直覺性地解決了哪些問題？</w:t>
      </w:r>
    </w:p>
    <w:p w14:paraId="049E85D1">
      <w:pPr>
        <w:keepNext w:val="0"/>
        <w:keepLines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我的作品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嘗試</w:t>
      </w:r>
      <w:r>
        <w:rPr>
          <w:rFonts w:hint="eastAsia" w:ascii="PingFang TC Regular" w:hAnsi="PingFang TC Regular" w:eastAsia="PingFang TC Regular" w:cs="PingFang TC Regular"/>
          <w:highlight w:val="none"/>
        </w:rPr>
        <w:t>填補現有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研究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的哪些空白？</w:t>
      </w:r>
    </w:p>
    <w:p w14:paraId="39FCD1C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7CD299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到第二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學年</w:t>
      </w:r>
      <w:r>
        <w:rPr>
          <w:rFonts w:hint="eastAsia" w:ascii="PingFang TC Regular" w:hAnsi="PingFang TC Regular" w:eastAsia="PingFang TC Regular" w:cs="PingFang TC Regular"/>
          <w:highlight w:val="none"/>
        </w:rPr>
        <w:t>中期，請嘗試清晰表述兩到三個潛在的研究方向。</w:t>
      </w:r>
    </w:p>
    <w:p w14:paraId="015AA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6089D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選擇導師：</w:t>
      </w:r>
    </w:p>
    <w:p w14:paraId="5EF7B57A">
      <w:pPr>
        <w:keepNext w:val="0"/>
        <w:keepLines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查看教師簡介：關注他們的出版物、展覽、專案和指導經驗</w:t>
      </w:r>
    </w:p>
    <w:p w14:paraId="2C1B5459">
      <w:pPr>
        <w:keepNext w:val="0"/>
        <w:keepLines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參加他們的講座、研討課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約見他們</w:t>
      </w:r>
    </w:p>
    <w:p w14:paraId="6E1CD6B3">
      <w:pPr>
        <w:keepNext w:val="0"/>
        <w:keepLines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與現任或往屆學生交流，瞭解他們的指導風格</w:t>
      </w:r>
    </w:p>
    <w:p w14:paraId="58FF1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4539F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在以下三個主要方面中尋找匹配的導師：</w:t>
      </w:r>
    </w:p>
    <w:p w14:paraId="5AB1FD2A">
      <w:pPr>
        <w:keepNext w:val="0"/>
        <w:keepLines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內容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方面</w:t>
      </w:r>
      <w:r>
        <w:rPr>
          <w:rFonts w:hint="eastAsia" w:ascii="PingFang TC Regular" w:hAnsi="PingFang TC Regular" w:eastAsia="PingFang TC Regular" w:cs="PingFang TC Regular"/>
          <w:highlight w:val="none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他/她是否與你在感知、材料、符號運用、創作過程、或其他綜合情況等方面有共同興趣？</w:t>
      </w:r>
    </w:p>
    <w:p w14:paraId="68A18990">
      <w:pPr>
        <w:keepNext w:val="0"/>
        <w:keepLines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方法方面：看他/她的實踐如何驅動其研究、他/她如何整合反思與記錄、以及理論在他/她那裏發揮怎樣的角色？</w:t>
      </w:r>
    </w:p>
    <w:p w14:paraId="45706F64">
      <w:pPr>
        <w:keepNext w:val="0"/>
        <w:keepLines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CN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熱情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方面</w:t>
      </w:r>
      <w:r>
        <w:rPr>
          <w:rFonts w:hint="eastAsia" w:ascii="PingFang TC Regular" w:hAnsi="PingFang TC Regular" w:eastAsia="PingFang TC Regular" w:cs="PingFang TC Regular"/>
          <w:highlight w:val="none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他/她</w:t>
      </w:r>
      <w:r>
        <w:rPr>
          <w:rFonts w:hint="eastAsia" w:ascii="PingFang TC Regular" w:hAnsi="PingFang TC Regular" w:eastAsia="PingFang TC Regular" w:cs="PingFang TC Regular"/>
          <w:highlight w:val="none"/>
        </w:rPr>
        <w:t>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你不断浮现</w:t>
      </w:r>
      <w:r>
        <w:rPr>
          <w:rFonts w:hint="eastAsia" w:ascii="PingFang TC Regular" w:hAnsi="PingFang TC Regular" w:eastAsia="PingFang TC Regular" w:cs="PingFang TC Regular"/>
          <w:highlight w:val="none"/>
        </w:rPr>
        <w:t>的想法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是否</w:t>
      </w:r>
      <w:r>
        <w:rPr>
          <w:rFonts w:hint="eastAsia" w:ascii="PingFang TC Regular" w:hAnsi="PingFang TC Regular" w:eastAsia="PingFang TC Regular" w:cs="PingFang TC Regular"/>
          <w:highlight w:val="none"/>
        </w:rPr>
        <w:t>真正感興趣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？</w:t>
      </w:r>
    </w:p>
    <w:p w14:paraId="25C4E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1B6F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早期的交談：</w:t>
      </w:r>
    </w:p>
    <w:p w14:paraId="29DD8D99">
      <w:pPr>
        <w:keepNext w:val="0"/>
        <w:keepLines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篩選2–3位潛在導師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並與他們</w:t>
      </w:r>
      <w:r>
        <w:rPr>
          <w:rFonts w:hint="eastAsia" w:ascii="PingFang TC Regular" w:hAnsi="PingFang TC Regular" w:eastAsia="PingFang TC Regular" w:cs="PingFang TC Regular"/>
          <w:highlight w:val="none"/>
        </w:rPr>
        <w:t>會面。準備一份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精簡</w:t>
      </w:r>
      <w:r>
        <w:rPr>
          <w:rFonts w:hint="eastAsia" w:ascii="PingFang TC Regular" w:hAnsi="PingFang TC Regular" w:eastAsia="PingFang TC Regular" w:cs="PingFang TC Regular"/>
          <w:highlight w:val="none"/>
        </w:rPr>
        <w:t>作品集和一段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描述你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當前興趣的簡短文字</w:t>
      </w:r>
    </w:p>
    <w:p w14:paraId="7474FF2D">
      <w:pPr>
        <w:keepNext w:val="0"/>
        <w:keepLines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以下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向潛在導師們的發問，</w:t>
      </w:r>
      <w:r>
        <w:rPr>
          <w:rFonts w:hint="eastAsia" w:ascii="PingFang TC Regular" w:hAnsi="PingFang TC Regular" w:eastAsia="PingFang TC Regular" w:cs="PingFang TC Regular"/>
          <w:highlight w:val="none"/>
        </w:rPr>
        <w:t>有助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於瞭解匹配度：</w:t>
      </w:r>
    </w:p>
    <w:p w14:paraId="534F1F5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最近最喜歡指導哪些類型的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項目</w:t>
      </w:r>
      <w:r>
        <w:rPr>
          <w:rFonts w:hint="eastAsia" w:ascii="PingFang TC Regular" w:hAnsi="PingFang TC Regular" w:eastAsia="PingFang TC Regular" w:cs="PingFang TC Regular"/>
          <w:highlight w:val="none"/>
        </w:rPr>
        <w:t>或主題？</w:t>
      </w:r>
    </w:p>
    <w:p w14:paraId="6CB0CF6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通常如何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指導實踐主導</w:t>
      </w:r>
      <w:r>
        <w:rPr>
          <w:rFonts w:hint="eastAsia" w:ascii="PingFang TC Regular" w:hAnsi="PingFang TC Regular" w:eastAsia="PingFang TC Regular" w:cs="PingFang TC Regular"/>
          <w:highlight w:val="none"/>
        </w:rPr>
        <w:t>的研究？</w:t>
      </w:r>
    </w:p>
    <w:p w14:paraId="17FAFC2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TW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通常的</w:t>
      </w:r>
      <w:r>
        <w:rPr>
          <w:rFonts w:hint="eastAsia" w:ascii="PingFang TC Regular" w:hAnsi="PingFang TC Regular" w:eastAsia="PingFang TC Regular" w:cs="PingFang TC Regular"/>
          <w:highlight w:val="none"/>
        </w:rPr>
        <w:t>指導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模式</w:t>
      </w:r>
      <w:r>
        <w:rPr>
          <w:rFonts w:hint="eastAsia" w:ascii="PingFang TC Regular" w:hAnsi="PingFang TC Regular" w:eastAsia="PingFang TC Regular" w:cs="PingFang TC Regular"/>
          <w:highlight w:val="none"/>
        </w:rPr>
        <w:t>是什麼樣的（例如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見面</w:t>
      </w:r>
      <w:r>
        <w:rPr>
          <w:rFonts w:hint="eastAsia" w:ascii="PingFang TC Regular" w:hAnsi="PingFang TC Regular" w:eastAsia="PingFang TC Regular" w:cs="PingFang TC Regular"/>
          <w:highlight w:val="none"/>
        </w:rPr>
        <w:t>頻率、偏好的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回饋模式</w:t>
      </w:r>
      <w:r>
        <w:rPr>
          <w:rFonts w:hint="eastAsia" w:ascii="PingFang TC Regular" w:hAnsi="PingFang TC Regular" w:eastAsia="PingFang TC Regular" w:cs="PingFang TC Regular"/>
          <w:highlight w:val="none"/>
        </w:rPr>
        <w:t>）？</w:t>
      </w:r>
    </w:p>
    <w:p w14:paraId="3A62E66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通常</w:t>
      </w:r>
      <w:r>
        <w:rPr>
          <w:rFonts w:hint="eastAsia" w:ascii="PingFang TC Regular" w:hAnsi="PingFang TC Regular" w:eastAsia="PingFang TC Regular" w:cs="PingFang TC Regular"/>
          <w:highlight w:val="none"/>
        </w:rPr>
        <w:t>希望提前多久收到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材料</w:t>
      </w:r>
      <w:r>
        <w:rPr>
          <w:rFonts w:hint="eastAsia" w:ascii="PingFang TC Regular" w:hAnsi="PingFang TC Regular" w:eastAsia="PingFang TC Regular" w:cs="PingFang TC Regular"/>
          <w:highlight w:val="none"/>
        </w:rPr>
        <w:t>？</w:t>
      </w:r>
    </w:p>
    <w:p w14:paraId="0E58578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C3E1E1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相信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</w:t>
      </w:r>
      <w:r>
        <w:rPr>
          <w:rFonts w:hint="eastAsia" w:ascii="PingFang TC Regular" w:hAnsi="PingFang TC Regular" w:eastAsia="PingFang TC Regular" w:cs="PingFang TC Regular"/>
          <w:highlight w:val="none"/>
        </w:rPr>
        <w:t>直覺。如果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交談令你感到被支持</w:t>
      </w:r>
      <w:r>
        <w:rPr>
          <w:rFonts w:hint="eastAsia" w:ascii="PingFang TC Regular" w:hAnsi="PingFang TC Regular" w:eastAsia="PingFang TC Regular" w:cs="PingFang TC Regular"/>
          <w:highlight w:val="none"/>
        </w:rPr>
        <w:t>、開放且充滿活力，通常是個好兆頭。</w:t>
      </w:r>
    </w:p>
    <w:p w14:paraId="72ADB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4ABD1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請表現得更主動些！</w:t>
      </w:r>
    </w:p>
    <w:p w14:paraId="7124150C">
      <w:pPr>
        <w:keepNext w:val="0"/>
        <w:keepLines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</w:rPr>
      </w:pPr>
      <w:r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</w:rPr>
        <w:t>博士生需要對自己的進展負責。這包括</w:t>
      </w:r>
      <w:r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  <w:lang w:val="en-US" w:eastAsia="zh-CN"/>
        </w:rPr>
        <w:t>主動與導師會面</w:t>
      </w:r>
      <w:r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</w:rPr>
        <w:t>、提前發送材料、整合</w:t>
      </w:r>
      <w:r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  <w:lang w:val="en-US" w:eastAsia="zh-CN"/>
        </w:rPr>
        <w:t>反</w:t>
      </w:r>
      <w:r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</w:rPr>
        <w:t>饋，以及</w:t>
      </w:r>
      <w:r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  <w:lang w:val="en-US" w:eastAsia="zh-CN"/>
        </w:rPr>
        <w:t>與</w:t>
      </w:r>
      <w:r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</w:rPr>
        <w:t>導師</w:t>
      </w:r>
      <w:r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  <w:lang w:val="en-US" w:eastAsia="zh-CN"/>
        </w:rPr>
        <w:t>保持聯絡</w:t>
      </w:r>
    </w:p>
    <w:p w14:paraId="0E979DEA">
      <w:pPr>
        <w:keepNext w:val="0"/>
        <w:keepLines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</w:rPr>
      </w:pPr>
      <w:r>
        <w:rPr>
          <w:rFonts w:hint="eastAsia" w:ascii="PingFang TC Regular" w:hAnsi="PingFang TC Regular" w:eastAsia="PingFang TC Regular" w:cs="PingFang TC Regular"/>
          <w:sz w:val="24"/>
          <w:szCs w:val="24"/>
          <w:highlight w:val="none"/>
        </w:rPr>
        <w:t>良好溝通將大大提升指導關係的品質</w:t>
      </w:r>
    </w:p>
    <w:p w14:paraId="7F6FA90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DD5425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6E1A128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規劃時間</w:t>
      </w:r>
    </w:p>
    <w:p w14:paraId="13753F7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CN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在第1–2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學</w:t>
      </w:r>
      <w:r>
        <w:rPr>
          <w:rFonts w:hint="eastAsia" w:ascii="PingFang TC Regular" w:hAnsi="PingFang TC Regular" w:eastAsia="PingFang TC Regular" w:cs="PingFang TC Regular"/>
          <w:highlight w:val="none"/>
        </w:rPr>
        <w:t>年，課程與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>實踐並行，有效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利用</w:t>
      </w:r>
      <w:r>
        <w:rPr>
          <w:rFonts w:hint="eastAsia" w:ascii="PingFang TC Regular" w:hAnsi="PingFang TC Regular" w:eastAsia="PingFang TC Regular" w:cs="PingFang TC Regular"/>
          <w:highlight w:val="none"/>
        </w:rPr>
        <w:t>時間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才能保持穩步向前，</w:t>
      </w:r>
      <w:r>
        <w:rPr>
          <w:rFonts w:hint="eastAsia" w:ascii="PingFang TC Regular" w:hAnsi="PingFang TC Regular" w:eastAsia="PingFang TC Regular" w:cs="PingFang TC Regular"/>
          <w:highlight w:val="none"/>
        </w:rPr>
        <w:t>避免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精力被榨幹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</w:t>
      </w:r>
      <w:r>
        <w:rPr>
          <w:rFonts w:hint="eastAsia" w:ascii="PingFang TC Regular" w:hAnsi="PingFang TC Regular" w:eastAsia="PingFang TC Regular" w:cs="PingFang TC Regular"/>
          <w:highlight w:val="none"/>
        </w:rPr>
        <w:t>目標不是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追求</w:t>
      </w:r>
      <w:r>
        <w:rPr>
          <w:rFonts w:hint="eastAsia" w:ascii="PingFang TC Regular" w:hAnsi="PingFang TC Regular" w:eastAsia="PingFang TC Regular" w:cs="PingFang TC Regular"/>
          <w:highlight w:val="none"/>
        </w:rPr>
        <w:t>完美，而是可持續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！</w:t>
      </w:r>
    </w:p>
    <w:p w14:paraId="19BF0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7A011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平衡創作、研究與寫作：</w:t>
      </w:r>
    </w:p>
    <w:p w14:paraId="18A5C6E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創作、研究、和寫作</w:t>
      </w:r>
      <w:r>
        <w:rPr>
          <w:rFonts w:hint="eastAsia" w:ascii="PingFang TC Regular" w:hAnsi="PingFang TC Regular" w:eastAsia="PingFang TC Regular" w:cs="PingFang TC Regular"/>
          <w:highlight w:val="none"/>
        </w:rPr>
        <w:t>視為相互關聯：創作產生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疑問</w:t>
      </w:r>
      <w:r>
        <w:rPr>
          <w:rFonts w:hint="eastAsia" w:ascii="PingFang TC Regular" w:hAnsi="PingFang TC Regular" w:eastAsia="PingFang TC Regular" w:cs="PingFang TC Regular"/>
          <w:highlight w:val="none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疑問</w:t>
      </w:r>
      <w:r>
        <w:rPr>
          <w:rFonts w:hint="eastAsia" w:ascii="PingFang TC Regular" w:hAnsi="PingFang TC Regular" w:eastAsia="PingFang TC Regular" w:cs="PingFang TC Regular"/>
          <w:highlight w:val="none"/>
        </w:rPr>
        <w:t>驅動閱讀與研究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而寫作與反思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又進一步重塑你的創作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>。不斷嘗試，找到適合自己的個人節奏。許多藝術家發現早晨適合新創作流動，而下午或晚上則適合分析性任務（如寫作或整理記錄）。花時間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瞭解自己的節奏</w:t>
      </w:r>
      <w:r>
        <w:rPr>
          <w:rFonts w:hint="eastAsia" w:ascii="PingFang TC Regular" w:hAnsi="PingFang TC Regular" w:eastAsia="PingFang TC Regular" w:cs="PingFang TC Regular"/>
          <w:highlight w:val="none"/>
        </w:rPr>
        <w:t>，然後相應調整。</w:t>
      </w:r>
    </w:p>
    <w:p w14:paraId="2E164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8147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實用技巧：</w:t>
      </w:r>
    </w:p>
    <w:p w14:paraId="6825D24A">
      <w:pPr>
        <w:keepNext w:val="0"/>
        <w:keepLines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時間分塊：設定固定時段（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例如，早上</w:t>
      </w:r>
      <w:r>
        <w:rPr>
          <w:rFonts w:hint="eastAsia" w:ascii="PingFang TC Regular" w:hAnsi="PingFang TC Regular" w:eastAsia="PingFang TC Regular" w:cs="PingFang TC Regular"/>
          <w:highlight w:val="none"/>
        </w:rPr>
        <w:t>9–12點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去</w:t>
      </w:r>
      <w:r>
        <w:rPr>
          <w:rFonts w:hint="eastAsia" w:ascii="PingFang TC Regular" w:hAnsi="PingFang TC Regular" w:eastAsia="PingFang TC Regular" w:cs="PingFang TC Regular"/>
          <w:highlight w:val="none"/>
        </w:rPr>
        <w:t>工作室、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下午</w:t>
      </w:r>
      <w:r>
        <w:rPr>
          <w:rFonts w:hint="eastAsia" w:ascii="PingFang TC Regular" w:hAnsi="PingFang TC Regular" w:eastAsia="PingFang TC Regular" w:cs="PingFang TC Regular"/>
          <w:highlight w:val="none"/>
        </w:rPr>
        <w:t>14–16點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做</w:t>
      </w:r>
      <w:r>
        <w:rPr>
          <w:rFonts w:hint="eastAsia" w:ascii="PingFang TC Regular" w:hAnsi="PingFang TC Regular" w:eastAsia="PingFang TC Regular" w:cs="PingFang TC Regular"/>
          <w:highlight w:val="none"/>
        </w:rPr>
        <w:t>研究、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晚上</w:t>
      </w:r>
      <w:r>
        <w:rPr>
          <w:rFonts w:hint="eastAsia" w:ascii="PingFang TC Regular" w:hAnsi="PingFang TC Regular" w:eastAsia="PingFang TC Regular" w:cs="PingFang TC Regular"/>
          <w:highlight w:val="none"/>
        </w:rPr>
        <w:t>19–21點寫作），並認真對待這些時段</w:t>
      </w:r>
    </w:p>
    <w:p w14:paraId="00EC98F3">
      <w:pPr>
        <w:keepNext w:val="0"/>
        <w:keepLines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專用日：每週預留1–2天用於非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創作的工作</w:t>
      </w:r>
    </w:p>
    <w:p w14:paraId="03276778">
      <w:pPr>
        <w:keepNext w:val="0"/>
        <w:keepLines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番茄工作法：以25–50分鐘為單位專注工作，中間穿插短休息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此</w:t>
      </w:r>
      <w:r>
        <w:rPr>
          <w:rFonts w:hint="eastAsia" w:ascii="PingFang TC Regular" w:hAnsi="PingFang TC Regular" w:eastAsia="PingFang TC Regular" w:cs="PingFang TC Regular"/>
          <w:highlight w:val="none"/>
        </w:rPr>
        <w:t>適合長時間工作</w:t>
      </w:r>
    </w:p>
    <w:p w14:paraId="6A456FE0">
      <w:pPr>
        <w:keepNext w:val="0"/>
        <w:keepLines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周度回顧：每週結束時反思哪些活動推動了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你的工作</w:t>
      </w:r>
      <w:r>
        <w:rPr>
          <w:rFonts w:hint="eastAsia" w:ascii="PingFang TC Regular" w:hAnsi="PingFang TC Regular" w:eastAsia="PingFang TC Regular" w:cs="PingFang TC Regular"/>
          <w:highlight w:val="none"/>
        </w:rPr>
        <w:t>，哪些讓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感到疲憊，然後進行調整</w:t>
      </w:r>
    </w:p>
    <w:p w14:paraId="2FFAE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56A43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研究日誌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：</w:t>
      </w:r>
    </w:p>
    <w:p w14:paraId="6502274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這是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你核心的工具</w:t>
      </w:r>
      <w:r>
        <w:rPr>
          <w:rFonts w:hint="eastAsia" w:ascii="PingFang TC Regular" w:hAnsi="PingFang TC Regular" w:eastAsia="PingFang TC Regular" w:cs="PingFang TC Regular"/>
          <w:highlight w:val="none"/>
        </w:rPr>
        <w:t>——既是素描本，又是日記，也是檔案。</w:t>
      </w:r>
    </w:p>
    <w:p w14:paraId="7D7C845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每天使用它來：</w:t>
      </w:r>
    </w:p>
    <w:p w14:paraId="2DE25868">
      <w:pPr>
        <w:keepNext w:val="0"/>
        <w:keepLines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記下</w:t>
      </w:r>
      <w:r>
        <w:rPr>
          <w:rFonts w:hint="eastAsia" w:ascii="PingFang TC Regular" w:hAnsi="PingFang TC Regular" w:eastAsia="PingFang TC Regular" w:cs="PingFang TC Regular"/>
          <w:highlight w:val="none"/>
        </w:rPr>
        <w:t>過程（草圖、照片、材料測試、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創作過程</w:t>
      </w:r>
      <w:r>
        <w:rPr>
          <w:rFonts w:hint="eastAsia" w:ascii="PingFang TC Regular" w:hAnsi="PingFang TC Regular" w:eastAsia="PingFang TC Regular" w:cs="PingFang TC Regular"/>
          <w:highlight w:val="none"/>
        </w:rPr>
        <w:t>）</w:t>
      </w:r>
    </w:p>
    <w:p w14:paraId="0B673F51">
      <w:pPr>
        <w:keepNext w:val="0"/>
        <w:keepLines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捕捉轉瞬即逝的想法和誠實的反思</w:t>
      </w:r>
    </w:p>
    <w:p w14:paraId="3824A795">
      <w:pPr>
        <w:keepNext w:val="0"/>
        <w:keepLines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記下</w:t>
      </w:r>
      <w:r>
        <w:rPr>
          <w:rFonts w:hint="eastAsia" w:ascii="PingFang TC Regular" w:hAnsi="PingFang TC Regular" w:eastAsia="PingFang TC Regular" w:cs="PingFang TC Regular"/>
          <w:highlight w:val="none"/>
        </w:rPr>
        <w:t>不同來源之間的聯繫</w:t>
      </w:r>
    </w:p>
    <w:p w14:paraId="56953A22">
      <w:pPr>
        <w:keepNext w:val="0"/>
        <w:keepLines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記下</w:t>
      </w:r>
      <w:r>
        <w:rPr>
          <w:rFonts w:hint="eastAsia" w:ascii="PingFang TC Regular" w:hAnsi="PingFang TC Regular" w:eastAsia="PingFang TC Regular" w:cs="PingFang TC Regular"/>
          <w:highlight w:val="none"/>
        </w:rPr>
        <w:t>實驗、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作品</w:t>
      </w:r>
      <w:r>
        <w:rPr>
          <w:rFonts w:hint="eastAsia" w:ascii="PingFang TC Regular" w:hAnsi="PingFang TC Regular" w:eastAsia="PingFang TC Regular" w:cs="PingFang TC Regular"/>
          <w:highlight w:val="none"/>
        </w:rPr>
        <w:t>迭代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和方向轉變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的脈絡</w:t>
      </w:r>
    </w:p>
    <w:p w14:paraId="2285725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16EEA7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混合方法通常效果最佳：傳統紙質筆記本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/</w:t>
      </w:r>
      <w:r>
        <w:rPr>
          <w:rFonts w:hint="eastAsia" w:ascii="PingFang TC Regular" w:hAnsi="PingFang TC Regular" w:eastAsia="PingFang TC Regular" w:cs="PingFang TC Regular"/>
          <w:highlight w:val="none"/>
        </w:rPr>
        <w:t>素描本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以保持</w:t>
      </w:r>
      <w:r>
        <w:rPr>
          <w:rFonts w:hint="eastAsia" w:ascii="PingFang TC Regular" w:hAnsi="PingFang TC Regular" w:eastAsia="PingFang TC Regular" w:cs="PingFang TC Regular"/>
          <w:highlight w:val="none"/>
        </w:rPr>
        <w:t>觸覺自由，同時使用數字工具來提升組織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能力</w:t>
      </w:r>
      <w:r>
        <w:rPr>
          <w:rFonts w:hint="eastAsia" w:ascii="PingFang TC Regular" w:hAnsi="PingFang TC Regular" w:eastAsia="PingFang TC Regular" w:cs="PingFang TC Regular"/>
          <w:highlight w:val="none"/>
        </w:rPr>
        <w:t>、搜索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能力、</w:t>
      </w:r>
      <w:r>
        <w:rPr>
          <w:rFonts w:hint="eastAsia" w:ascii="PingFang TC Regular" w:hAnsi="PingFang TC Regular" w:eastAsia="PingFang TC Regular" w:cs="PingFang TC Regular"/>
          <w:highlight w:val="none"/>
        </w:rPr>
        <w:t>和多媒體處理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能力。（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例</w:t>
      </w:r>
      <w:r>
        <w:rPr>
          <w:rFonts w:hint="eastAsia" w:ascii="PingFang TC Regular" w:hAnsi="PingFang TC Regular" w:eastAsia="PingFang TC Regular" w:cs="PingFang TC Regular"/>
          <w:highlight w:val="none"/>
        </w:rPr>
        <w:t>如「Notion」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這款線上數字工具，它</w:t>
      </w:r>
      <w:r>
        <w:rPr>
          <w:rFonts w:hint="eastAsia" w:ascii="PingFang TC Regular" w:hAnsi="PingFang TC Regular" w:eastAsia="PingFang TC Regular" w:cs="PingFang TC Regular"/>
          <w:highlight w:val="none"/>
        </w:rPr>
        <w:t>的AI搜索功能輕鬆檢索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出</w:t>
      </w:r>
      <w:r>
        <w:rPr>
          <w:rFonts w:hint="eastAsia" w:ascii="PingFang TC Regular" w:hAnsi="PingFang TC Regular" w:eastAsia="PingFang TC Regular" w:cs="PingFang TC Regular"/>
          <w:highlight w:val="none"/>
        </w:rPr>
        <w:t>特定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條目</w:t>
      </w:r>
      <w:r>
        <w:rPr>
          <w:rFonts w:hint="eastAsia" w:ascii="PingFang TC Regular" w:hAnsi="PingFang TC Regular" w:eastAsia="PingFang TC Regular" w:cs="PingFang TC Regular"/>
          <w:highlight w:val="none"/>
        </w:rPr>
        <w:t>，或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在</w:t>
      </w:r>
      <w:r>
        <w:rPr>
          <w:rFonts w:hint="eastAsia" w:ascii="PingFang TC Regular" w:hAnsi="PingFang TC Regular" w:eastAsia="PingFang TC Regular" w:cs="PingFang TC Regular"/>
          <w:highlight w:val="none"/>
        </w:rPr>
        <w:t>不同條目之間的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辨認出相關</w:t>
      </w:r>
      <w:r>
        <w:rPr>
          <w:rFonts w:hint="eastAsia" w:ascii="PingFang TC Regular" w:hAnsi="PingFang TC Regular" w:eastAsia="PingFang TC Regular" w:cs="PingFang TC Regular"/>
          <w:highlight w:val="none"/>
        </w:rPr>
        <w:t>模式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）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372A549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通過儘早培養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上述</w:t>
      </w:r>
      <w:r>
        <w:rPr>
          <w:rFonts w:hint="eastAsia" w:ascii="PingFang TC Regular" w:hAnsi="PingFang TC Regular" w:eastAsia="PingFang TC Regular" w:cs="PingFang TC Regular"/>
          <w:highlight w:val="none"/>
        </w:rPr>
        <w:t>習慣，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將為資格考試之後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獨立研究階段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積累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起足夠</w:t>
      </w:r>
      <w:r>
        <w:rPr>
          <w:rFonts w:hint="eastAsia" w:ascii="PingFang TC Regular" w:hAnsi="PingFang TC Regular" w:eastAsia="PingFang TC Regular" w:cs="PingFang TC Regular"/>
          <w:highlight w:val="none"/>
        </w:rPr>
        <w:t>韌性和動力。隨著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項目</w:t>
      </w:r>
      <w:r>
        <w:rPr>
          <w:rFonts w:hint="eastAsia" w:ascii="PingFang TC Regular" w:hAnsi="PingFang TC Regular" w:eastAsia="PingFang TC Regular" w:cs="PingFang TC Regular"/>
          <w:highlight w:val="none"/>
        </w:rPr>
        <w:t>發展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請定期回顧並調整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的日常安排。</w:t>
      </w:r>
    </w:p>
    <w:p w14:paraId="63807E8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8BBA8A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4FF47A8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467151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F31EA25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</w:pP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  <w:t>第二部分：定義</w:t>
      </w: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  <w:t>的研究（第1-2</w:t>
      </w: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val="en-US" w:eastAsia="zh-CN"/>
        </w:rPr>
        <w:t>學</w:t>
      </w: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  <w:t>年）</w:t>
      </w:r>
    </w:p>
    <w:p w14:paraId="6150EFD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86AE4B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86520A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</w:pP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「藝術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CN"/>
        </w:rPr>
        <w:t>正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是在解決那些在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CN"/>
        </w:rPr>
        <w:t>被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解決前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CN"/>
        </w:rPr>
        <w:t>尚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無法被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CN"/>
        </w:rPr>
        <w:t>表述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的問題。提問方式本身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CN"/>
        </w:rPr>
        <w:t>即是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答案的一部分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CN"/>
        </w:rPr>
        <w:t>。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」</w:t>
      </w:r>
    </w:p>
    <w:p w14:paraId="181B529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</w:pP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——皮特·海恩（Piet Hein）（1973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CN"/>
        </w:rPr>
        <w:t>年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）</w:t>
      </w:r>
    </w:p>
    <w:p w14:paraId="5DD7025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F23994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456567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在早期階段的中後期，隨著課程減少和資格考試臨近，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的重點將轉向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構築一個邏輯連貫的完整研究專案</w:t>
      </w:r>
      <w:r>
        <w:rPr>
          <w:rFonts w:hint="eastAsia" w:ascii="PingFang TC Regular" w:hAnsi="PingFang TC Regular" w:eastAsia="PingFang TC Regular" w:cs="PingFang TC Regular"/>
          <w:highlight w:val="none"/>
        </w:rPr>
        <w:t>。這一階段將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直覺性的藝術探索</w:t>
      </w:r>
      <w:r>
        <w:rPr>
          <w:rFonts w:hint="eastAsia" w:ascii="PingFang TC Regular" w:hAnsi="PingFang TC Regular" w:eastAsia="PingFang TC Regular" w:cs="PingFang TC Regular"/>
          <w:highlight w:val="none"/>
        </w:rPr>
        <w:t>轉化為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結構化的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博士研究，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這個階段依舊</w:t>
      </w:r>
      <w:r>
        <w:rPr>
          <w:rFonts w:hint="eastAsia" w:ascii="PingFang TC Regular" w:hAnsi="PingFang TC Regular" w:eastAsia="PingFang TC Regular" w:cs="PingFang TC Regular"/>
          <w:highlight w:val="none"/>
        </w:rPr>
        <w:t>保持實踐的主導地位，並滿足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相關</w:t>
      </w:r>
      <w:r>
        <w:rPr>
          <w:rFonts w:hint="eastAsia" w:ascii="PingFang TC Regular" w:hAnsi="PingFang TC Regular" w:eastAsia="PingFang TC Regular" w:cs="PingFang TC Regular"/>
          <w:highlight w:val="none"/>
        </w:rPr>
        <w:t>學術要求。</w:t>
      </w:r>
    </w:p>
    <w:p w14:paraId="7A4543A9">
      <w:pPr>
        <w:keepNext w:val="0"/>
        <w:keepLines w:val="0"/>
        <w:widowControl w:val="0"/>
        <w:tabs>
          <w:tab w:val="left" w:pos="2861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TW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ab/>
      </w:r>
    </w:p>
    <w:p w14:paraId="5F38A541">
      <w:pPr>
        <w:keepNext w:val="0"/>
        <w:keepLines w:val="0"/>
        <w:widowControl w:val="0"/>
        <w:tabs>
          <w:tab w:val="left" w:pos="2861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TW"/>
        </w:rPr>
      </w:pPr>
    </w:p>
    <w:p w14:paraId="6D5B655A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從藝術探究到研究問題</w:t>
      </w:r>
    </w:p>
    <w:p w14:paraId="6F78457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在實踐型博士學位中，研究問題並非先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於你的創作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>，而是從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創作中</w:t>
      </w:r>
      <w:r>
        <w:rPr>
          <w:rFonts w:hint="eastAsia" w:ascii="PingFang TC Regular" w:hAnsi="PingFang TC Regular" w:eastAsia="PingFang TC Regular" w:cs="PingFang TC Regular"/>
          <w:highlight w:val="none"/>
        </w:rPr>
        <w:t>自然產生。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的創作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依舊</w:t>
      </w:r>
      <w:r>
        <w:rPr>
          <w:rFonts w:hint="eastAsia" w:ascii="PingFang TC Regular" w:hAnsi="PingFang TC Regular" w:eastAsia="PingFang TC Regular" w:cs="PingFang TC Regular"/>
          <w:highlight w:val="none"/>
        </w:rPr>
        <w:t>是主要的探究方式。</w:t>
      </w:r>
    </w:p>
    <w:p w14:paraId="3EC07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A3E3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创作如何带领你：</w:t>
      </w:r>
    </w:p>
    <w:p w14:paraId="0BAAB0E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创作</w:t>
      </w:r>
      <w:r>
        <w:rPr>
          <w:rFonts w:hint="eastAsia" w:ascii="PingFang TC Regular" w:hAnsi="PingFang TC Regular" w:eastAsia="PingFang TC Regular" w:cs="PingFang TC Regular"/>
          <w:highlight w:val="none"/>
        </w:rPr>
        <w:t>是引擎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</w:rPr>
        <w:t>通過持續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动手制作</w:t>
      </w:r>
      <w:r>
        <w:rPr>
          <w:rFonts w:hint="eastAsia" w:ascii="PingFang TC Regular" w:hAnsi="PingFang TC Regular" w:eastAsia="PingFang TC Regular" w:cs="PingFang TC Regular"/>
          <w:highlight w:val="none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创作</w:t>
      </w:r>
      <w:r>
        <w:rPr>
          <w:rFonts w:hint="eastAsia" w:ascii="PingFang TC Regular" w:hAnsi="PingFang TC Regular" w:eastAsia="PingFang TC Regular" w:cs="PingFang TC Regular"/>
          <w:highlight w:val="none"/>
        </w:rPr>
        <w:t>系列作品、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材料实验，透</w:t>
      </w:r>
      <w:r>
        <w:rPr>
          <w:rFonts w:hint="eastAsia" w:ascii="PingFang TC Regular" w:hAnsi="PingFang TC Regular" w:eastAsia="PingFang TC Regular" w:cs="PingFang TC Regular"/>
          <w:highlight w:val="none"/>
        </w:rPr>
        <w:t>過失敗進行迭代，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會發現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其中</w:t>
      </w:r>
      <w:r>
        <w:rPr>
          <w:rFonts w:hint="eastAsia" w:ascii="PingFang TC Regular" w:hAnsi="PingFang TC Regular" w:eastAsia="PingFang TC Regular" w:cs="PingFang TC Regular"/>
          <w:highlight w:val="none"/>
        </w:rPr>
        <w:t>反復出現的關注點、未解決的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內容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或全新的可能性，這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三者</w:t>
      </w:r>
      <w:r>
        <w:rPr>
          <w:rFonts w:hint="eastAsia" w:ascii="PingFang TC Regular" w:hAnsi="PingFang TC Regular" w:eastAsia="PingFang TC Regular" w:cs="PingFang TC Regular"/>
          <w:highlight w:val="none"/>
        </w:rPr>
        <w:t>都需要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你进行</w:t>
      </w:r>
      <w:r>
        <w:rPr>
          <w:rFonts w:hint="eastAsia" w:ascii="PingFang TC Regular" w:hAnsi="PingFang TC Regular" w:eastAsia="PingFang TC Regular" w:cs="PingFang TC Regular"/>
          <w:highlight w:val="none"/>
        </w:rPr>
        <w:t>更深入探索。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请记得</w:t>
      </w:r>
      <w:r>
        <w:rPr>
          <w:rFonts w:hint="eastAsia" w:ascii="PingFang TC Regular" w:hAnsi="PingFang TC Regular" w:eastAsia="PingFang TC Regular" w:cs="PingFang TC Regular"/>
          <w:highlight w:val="none"/>
        </w:rPr>
        <w:t>在研究日誌中嚴謹記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下</w:t>
      </w:r>
      <w:r>
        <w:rPr>
          <w:rFonts w:hint="eastAsia" w:ascii="PingFang TC Regular" w:hAnsi="PingFang TC Regular" w:eastAsia="PingFang TC Regular" w:cs="PingFang TC Regular"/>
          <w:highlight w:val="none"/>
        </w:rPr>
        <w:t>這些浮現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出来的事情</w:t>
      </w:r>
      <w:r>
        <w:rPr>
          <w:rFonts w:hint="eastAsia" w:ascii="PingFang TC Regular" w:hAnsi="PingFang TC Regular" w:eastAsia="PingFang TC Regular" w:cs="PingFang TC Regular"/>
          <w:highlight w:val="none"/>
        </w:rPr>
        <w:t>。隨著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深入</w:t>
      </w:r>
      <w:r>
        <w:rPr>
          <w:rFonts w:hint="eastAsia" w:ascii="PingFang TC Regular" w:hAnsi="PingFang TC Regular" w:eastAsia="PingFang TC Regular" w:cs="PingFang TC Regular"/>
          <w:highlight w:val="none"/>
        </w:rPr>
        <w:t>反思，問題會逐漸成形：我的作品在執著地追問什麼？這種創作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中</w:t>
      </w:r>
      <w:r>
        <w:rPr>
          <w:rFonts w:hint="eastAsia" w:ascii="PingFang TC Regular" w:hAnsi="PingFang TC Regular" w:eastAsia="PingFang TC Regular" w:cs="PingFang TC Regular"/>
          <w:highlight w:val="none"/>
        </w:rPr>
        <w:t>產生了哪些僅憑文字無法捕捉的新理解？</w:t>
      </w:r>
    </w:p>
    <w:p w14:paraId="62185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03BA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構建一個更為聚焦的研究問題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：</w:t>
      </w:r>
    </w:p>
    <w:p w14:paraId="774CDCB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</w:t>
      </w:r>
      <w:r>
        <w:rPr>
          <w:rFonts w:hint="eastAsia" w:ascii="PingFang TC Regular" w:hAnsi="PingFang TC Regular" w:eastAsia="PingFang TC Regular" w:cs="PingFang TC Regular"/>
          <w:highlight w:val="none"/>
        </w:rPr>
        <w:t>目標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是提出一個具備以下特點的問題：</w:t>
      </w:r>
    </w:p>
    <w:p w14:paraId="51DC6381">
      <w:pPr>
        <w:keepNext w:val="0"/>
        <w:keepLines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清晰且可論證</w:t>
      </w:r>
    </w:p>
    <w:p w14:paraId="3408705A">
      <w:pPr>
        <w:keepNext w:val="0"/>
        <w:keepLines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在四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學年</w:t>
      </w:r>
      <w:r>
        <w:rPr>
          <w:rFonts w:hint="eastAsia" w:ascii="PingFang TC Regular" w:hAnsi="PingFang TC Regular" w:eastAsia="PingFang TC Regular" w:cs="PingFang TC Regular"/>
          <w:highlight w:val="none"/>
        </w:rPr>
        <w:t>內可行</w:t>
      </w:r>
    </w:p>
    <w:p w14:paraId="19A88CFD">
      <w:pPr>
        <w:keepNext w:val="0"/>
        <w:keepLines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必須通過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特定的藝術過程才能回答</w:t>
      </w:r>
    </w:p>
    <w:p w14:paraId="394EAD8C">
      <w:pPr>
        <w:keepNext w:val="0"/>
        <w:keepLines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color w:val="auto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既足夠開放以允許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其</w:t>
      </w:r>
      <w:r>
        <w:rPr>
          <w:rFonts w:hint="eastAsia" w:ascii="PingFang TC Regular" w:hAnsi="PingFang TC Regular" w:eastAsia="PingFang TC Regular" w:cs="PingFang TC Regular"/>
          <w:highlight w:val="none"/>
        </w:rPr>
        <w:t>演變，又足夠聚焦以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能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指導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你的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決策</w:t>
      </w:r>
    </w:p>
    <w:p w14:paraId="1A02DEF9">
      <w:pPr>
        <w:keepNext w:val="0"/>
        <w:keepLines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77466E2">
      <w:pPr>
        <w:keepNext w:val="0"/>
        <w:keepLines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240" w:leftChars="0" w:hanging="240" w:hangingChars="100"/>
        <w:textAlignment w:val="auto"/>
        <w:rPr>
          <w:rFonts w:hint="eastAsia" w:ascii="PingFang TC Regular" w:hAnsi="PingFang TC Regular" w:eastAsia="PingFang TC Regular" w:cs="PingFang TC Regular"/>
          <w:highlight w:val="none"/>
          <w:lang w:val="en-US" w:eastAsia="zh-TW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TW"/>
        </w:rPr>
        <w:t>比如：</w:t>
      </w:r>
    </w:p>
    <w:p w14:paraId="33179C87">
      <w:pPr>
        <w:keepNext w:val="0"/>
        <w:keepLines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240" w:leftChars="0" w:hanging="240" w:hangingChars="10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１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.</w:t>
      </w:r>
      <w:r>
        <w:rPr>
          <w:rFonts w:hint="eastAsia" w:ascii="PingFang TC Regular" w:hAnsi="PingFang TC Regular" w:eastAsia="PingFang TC Regular" w:cs="PingFang TC Regular"/>
          <w:highlight w:val="none"/>
        </w:rPr>
        <w:t>從寬泛開始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</w:rPr>
        <w:t>「數字工具如何擴展傳統繪畫實踐？」</w:t>
      </w:r>
    </w:p>
    <w:p w14:paraId="3B22555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40" w:leftChars="0" w:hanging="240" w:hangingChars="100"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CN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２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.</w:t>
      </w:r>
      <w:r>
        <w:rPr>
          <w:rFonts w:hint="eastAsia" w:ascii="PingFang TC Regular" w:hAnsi="PingFang TC Regular" w:eastAsia="PingFang TC Regular" w:cs="PingFang TC Regular"/>
          <w:highlight w:val="none"/>
        </w:rPr>
        <w:t>通過創作和反思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逐步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將問題</w:t>
      </w:r>
      <w:r>
        <w:rPr>
          <w:rFonts w:hint="eastAsia" w:ascii="PingFang TC Regular" w:hAnsi="PingFang TC Regular" w:eastAsia="PingFang TC Regular" w:cs="PingFang TC Regular"/>
          <w:highlight w:val="none"/>
        </w:rPr>
        <w:t>精煉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AI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基於</w:t>
      </w:r>
      <w:r>
        <w:rPr>
          <w:rFonts w:hint="eastAsia" w:ascii="PingFang TC Regular" w:hAnsi="PingFang TC Regular" w:eastAsia="PingFang TC Regular" w:cs="PingFang TC Regular"/>
          <w:highlight w:val="none"/>
        </w:rPr>
        <w:t>擴散模型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對</w:t>
      </w:r>
      <w:r>
        <w:rPr>
          <w:rFonts w:hint="eastAsia" w:ascii="PingFang TC Regular" w:hAnsi="PingFang TC Regular" w:eastAsia="PingFang TC Regular" w:cs="PingFang TC Regular"/>
          <w:highlight w:val="none"/>
        </w:rPr>
        <w:t>我檔案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處理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）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生成的</w:t>
      </w:r>
      <w:r>
        <w:rPr>
          <w:rFonts w:hint="eastAsia" w:ascii="PingFang TC Regular" w:hAnsi="PingFang TC Regular" w:eastAsia="PingFang TC Regular" w:cs="PingFang TC Regular"/>
          <w:highlight w:val="none"/>
        </w:rPr>
        <w:t>痕跡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通過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電腦</w:t>
      </w:r>
      <w:r>
        <w:rPr>
          <w:rFonts w:hint="eastAsia" w:ascii="PingFang TC Regular" w:hAnsi="PingFang TC Regular" w:eastAsia="PingFang TC Regular" w:cs="PingFang TC Regular"/>
          <w:highlight w:val="none"/>
        </w:rPr>
        <w:t>數控設備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CNC）繪製</w:t>
      </w:r>
      <w:r>
        <w:rPr>
          <w:rFonts w:hint="eastAsia" w:ascii="PingFang TC Regular" w:hAnsi="PingFang TC Regular" w:eastAsia="PingFang TC Regular" w:cs="PingFang TC Regular"/>
          <w:highlight w:val="none"/>
        </w:rPr>
        <w:t>在聚酯薄膜上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在有關數字過時性</w:t>
      </w:r>
      <w:r>
        <w:rPr>
          <w:rStyle w:val="21"/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footnoteReference w:id="2"/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的繪畫中，如此是以何種方式揭示</w:t>
      </w:r>
      <w:r>
        <w:rPr>
          <w:rFonts w:hint="eastAsia" w:ascii="PingFang TC Regular" w:hAnsi="PingFang TC Regular" w:eastAsia="PingFang TC Regular" w:cs="PingFang TC Regular"/>
          <w:highlight w:val="none"/>
        </w:rPr>
        <w:t>機器可預測性與人工手勢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之間的衝突的？</w:t>
      </w:r>
      <w:r>
        <w:rPr>
          <w:rFonts w:hint="eastAsia" w:ascii="PingFang TC Regular" w:hAnsi="PingFang TC Regular" w:eastAsia="PingFang TC Regular" w:cs="PingFang TC Regular"/>
          <w:highlight w:val="none"/>
        </w:rPr>
        <w:t>」</w:t>
      </w:r>
    </w:p>
    <w:p w14:paraId="5777ACA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40" w:leftChars="0" w:hanging="240" w:hangingChars="10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３.然後</w:t>
      </w:r>
      <w:r>
        <w:rPr>
          <w:rFonts w:hint="eastAsia" w:ascii="PingFang TC Regular" w:hAnsi="PingFang TC Regular" w:eastAsia="PingFang TC Regular" w:cs="PingFang TC Regular"/>
          <w:highlight w:val="none"/>
        </w:rPr>
        <w:t>測試它：回答這個問題是否需要創作新作品？成果是否能貢獻原創知識？</w:t>
      </w:r>
    </w:p>
    <w:p w14:paraId="104EE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079E9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與更廣泛語境建立聯繫</w:t>
      </w:r>
    </w:p>
    <w:p w14:paraId="4EF9A0D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的作品並非孤立存在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請將其置於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已有</w:t>
      </w:r>
      <w:r>
        <w:rPr>
          <w:rFonts w:hint="eastAsia" w:ascii="PingFang TC Regular" w:hAnsi="PingFang TC Regular" w:eastAsia="PingFang TC Regular" w:cs="PingFang TC Regular"/>
          <w:highlight w:val="none"/>
        </w:rPr>
        <w:t>話語的對話之中：</w:t>
      </w:r>
    </w:p>
    <w:p w14:paraId="3CB152F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• 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同代人的</w:t>
      </w:r>
      <w:r>
        <w:rPr>
          <w:rFonts w:hint="eastAsia" w:ascii="PingFang TC Regular" w:hAnsi="PingFang TC Regular" w:eastAsia="PingFang TC Regular" w:cs="PingFang TC Regular"/>
          <w:highlight w:val="none"/>
        </w:rPr>
        <w:t>：與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研究興趣和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創作品味</w:t>
      </w:r>
      <w:r>
        <w:rPr>
          <w:rFonts w:hint="eastAsia" w:ascii="PingFang TC Regular" w:hAnsi="PingFang TC Regular" w:eastAsia="PingFang TC Regular" w:cs="PingFang TC Regular"/>
          <w:highlight w:val="none"/>
        </w:rPr>
        <w:t>相契合的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同類</w:t>
      </w:r>
      <w:r>
        <w:rPr>
          <w:rFonts w:hint="eastAsia" w:ascii="PingFang TC Regular" w:hAnsi="PingFang TC Regular" w:eastAsia="PingFang TC Regular" w:cs="PingFang TC Regular"/>
          <w:highlight w:val="none"/>
        </w:rPr>
        <w:t>藝術家及研究者</w:t>
      </w:r>
    </w:p>
    <w:p w14:paraId="7D249DF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• 藝術史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例如</w:t>
      </w:r>
      <w:r>
        <w:rPr>
          <w:rFonts w:hint="eastAsia" w:ascii="PingFang TC Regular" w:hAnsi="PingFang TC Regular" w:eastAsia="PingFang TC Regular" w:cs="PingFang TC Regular"/>
          <w:highlight w:val="none"/>
        </w:rPr>
        <w:t>過程藝術</w:t>
      </w:r>
      <w:r>
        <w:rPr>
          <w:rStyle w:val="21"/>
          <w:rFonts w:hint="eastAsia" w:ascii="PingFang TC Regular" w:hAnsi="PingFang TC Regular" w:eastAsia="PingFang TC Regular" w:cs="PingFang TC Regular"/>
          <w:highlight w:val="none"/>
        </w:rPr>
        <w:footnoteReference w:id="3"/>
      </w:r>
      <w:r>
        <w:rPr>
          <w:rFonts w:hint="eastAsia" w:ascii="PingFang TC Regular" w:hAnsi="PingFang TC Regular" w:eastAsia="PingFang TC Regular" w:cs="PingFang TC Regular"/>
          <w:highlight w:val="none"/>
        </w:rPr>
        <w:t>、極簡主義、當代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藝術裏面</w:t>
      </w:r>
      <w:r>
        <w:rPr>
          <w:rFonts w:hint="eastAsia" w:ascii="PingFang TC Regular" w:hAnsi="PingFang TC Regular" w:eastAsia="PingFang TC Regular" w:cs="PingFang TC Regular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案</w:t>
      </w:r>
      <w:r>
        <w:rPr>
          <w:rFonts w:hint="eastAsia" w:ascii="PingFang TC Regular" w:hAnsi="PingFang TC Regular" w:eastAsia="PingFang TC Regular" w:cs="PingFang TC Regular"/>
          <w:highlight w:val="none"/>
        </w:rPr>
        <w:t>例</w:t>
      </w:r>
    </w:p>
    <w:p w14:paraId="2B3599F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• 理論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例如</w:t>
      </w:r>
      <w:r>
        <w:rPr>
          <w:rFonts w:hint="eastAsia" w:ascii="PingFang TC Regular" w:hAnsi="PingFang TC Regular" w:eastAsia="PingFang TC Regular" w:cs="PingFang TC Regular"/>
          <w:highlight w:val="none"/>
        </w:rPr>
        <w:t>感知的現象學、符號學、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及</w:t>
      </w:r>
      <w:r>
        <w:rPr>
          <w:rFonts w:hint="eastAsia" w:ascii="PingFang TC Regular" w:hAnsi="PingFang TC Regular" w:eastAsia="PingFang TC Regular" w:cs="PingFang TC Regular"/>
          <w:highlight w:val="none"/>
        </w:rPr>
        <w:t>相關的哲學框架</w:t>
      </w:r>
    </w:p>
    <w:p w14:paraId="7BCB79A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• 跨學科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：科學、技術、社會學、文學等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有助於你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實踐的領域</w:t>
      </w:r>
    </w:p>
    <w:p w14:paraId="3AEB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542C7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繪製共鳴與填补空白：</w:t>
      </w:r>
    </w:p>
    <w:p w14:paraId="5621B9D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b w:val="0"/>
          <w:bCs w:val="0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的實踐在何處延伸、挑戰或重構既有理念？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將</w:t>
      </w:r>
      <w:r>
        <w:rPr>
          <w:rFonts w:hint="eastAsia" w:ascii="PingFang TC Regular" w:hAnsi="PingFang TC Regular" w:eastAsia="PingFang TC Regular" w:cs="PingFang TC Regular"/>
          <w:highlight w:val="none"/>
        </w:rPr>
        <w:t>這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些梳理清晰，將有助於說明你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博士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項目的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創新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之處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65C29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EC6B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文獻綜述：</w:t>
      </w:r>
    </w:p>
    <w:p w14:paraId="1C6FAAD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撰寫文獻綜述並非一項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單獨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的學術任務，而是服務於並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被你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的實踐塑造。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文獻綜述定位了你的研究</w:t>
      </w:r>
      <w:r>
        <w:rPr>
          <w:rFonts w:hint="eastAsia" w:ascii="PingFang TC Regular" w:hAnsi="PingFang TC Regular" w:eastAsia="PingFang TC Regular" w:cs="PingFang TC Regular"/>
          <w:highlight w:val="none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澄清為何</w:t>
      </w:r>
      <w:r>
        <w:rPr>
          <w:rFonts w:hint="eastAsia" w:ascii="PingFang TC Regular" w:hAnsi="PingFang TC Regular" w:eastAsia="PingFang TC Regular" w:cs="PingFang TC Regular"/>
          <w:highlight w:val="none"/>
        </w:rPr>
        <w:t>實踐是必要的方法，並指出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作品所填補的空白。在實踐型博士學位中，文獻綜述通常是動態的：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它</w:t>
      </w:r>
      <w:r>
        <w:rPr>
          <w:rFonts w:hint="eastAsia" w:ascii="PingFang TC Regular" w:hAnsi="PingFang TC Regular" w:eastAsia="PingFang TC Regular" w:cs="PingFang TC Regular"/>
          <w:highlight w:val="none"/>
        </w:rPr>
        <w:t>隨著創作的發展而不斷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被</w:t>
      </w:r>
      <w:r>
        <w:rPr>
          <w:rFonts w:hint="eastAsia" w:ascii="PingFang TC Regular" w:hAnsi="PingFang TC Regular" w:eastAsia="PingFang TC Regular" w:cs="PingFang TC Regular"/>
          <w:highlight w:val="none"/>
        </w:rPr>
        <w:t>回顧和擴展。請注重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文章的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品質而非數量，優先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關注</w:t>
      </w:r>
      <w:r>
        <w:rPr>
          <w:rFonts w:hint="eastAsia" w:ascii="PingFang TC Regular" w:hAnsi="PingFang TC Regular" w:eastAsia="PingFang TC Regular" w:cs="PingFang TC Regular"/>
          <w:highlight w:val="none"/>
        </w:rPr>
        <w:t>那些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能</w:t>
      </w:r>
      <w:r>
        <w:rPr>
          <w:rFonts w:hint="eastAsia" w:ascii="PingFang TC Regular" w:hAnsi="PingFang TC Regular" w:eastAsia="PingFang TC Regular" w:cs="PingFang TC Regular"/>
          <w:highlight w:val="none"/>
        </w:rPr>
        <w:t>啟發或挑戰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研究問題的文本。</w:t>
      </w:r>
    </w:p>
    <w:p w14:paraId="688CE84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DE19DE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到資格考試時，文獻綜述應成為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提案的主幹，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它將</w:t>
      </w:r>
      <w:r>
        <w:rPr>
          <w:rFonts w:hint="eastAsia" w:ascii="PingFang TC Regular" w:hAnsi="PingFang TC Regular" w:eastAsia="PingFang TC Regular" w:cs="PingFang TC Regular"/>
          <w:highlight w:val="none"/>
        </w:rPr>
        <w:t>展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示你實踐主導的</w:t>
      </w:r>
      <w:r>
        <w:rPr>
          <w:rFonts w:hint="eastAsia" w:ascii="PingFang TC Regular" w:hAnsi="PingFang TC Regular" w:eastAsia="PingFang TC Regular" w:cs="PingFang TC Regular"/>
          <w:highlight w:val="none"/>
        </w:rPr>
        <w:t>方法如何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生產能</w:t>
      </w:r>
      <w:r>
        <w:rPr>
          <w:rFonts w:hint="eastAsia" w:ascii="PingFang TC Regular" w:hAnsi="PingFang TC Regular" w:eastAsia="PingFang TC Regular" w:cs="PingFang TC Regular"/>
          <w:highlight w:val="none"/>
        </w:rPr>
        <w:t>補充和推進現有學術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知識。</w:t>
      </w:r>
    </w:p>
    <w:p w14:paraId="4DCB0642">
      <w:pPr>
        <w:keepNext w:val="0"/>
        <w:keepLines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1F906AB">
      <w:pPr>
        <w:keepNext w:val="0"/>
        <w:keepLines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1A93D57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研究提案、資格考試與</w:t>
      </w: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  <w:t>開題</w:t>
      </w:r>
    </w:p>
    <w:p w14:paraId="53BDE84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從博士生到博士候選人的轉變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包含</w:t>
      </w:r>
      <w:r>
        <w:rPr>
          <w:rFonts w:hint="eastAsia" w:ascii="PingFang TC Regular" w:hAnsi="PingFang TC Regular" w:eastAsia="PingFang TC Regular" w:cs="PingFang TC Regular"/>
          <w:highlight w:val="none"/>
        </w:rPr>
        <w:t>以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改進</w:t>
      </w:r>
      <w:r>
        <w:rPr>
          <w:rFonts w:hint="eastAsia" w:ascii="PingFang TC Regular" w:hAnsi="PingFang TC Regular" w:eastAsia="PingFang TC Regular" w:cs="PingFang TC Regular"/>
          <w:highlight w:val="none"/>
        </w:rPr>
        <w:t>研究提案為核心的兩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個關鍵節點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0B10E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52B97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節點一：資格考試（QE）</w:t>
      </w:r>
    </w:p>
    <w:p w14:paraId="096E3FD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時間：通常安排在第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2學</w:t>
      </w:r>
      <w:r>
        <w:rPr>
          <w:rFonts w:hint="eastAsia" w:ascii="PingFang TC Regular" w:hAnsi="PingFang TC Regular" w:eastAsia="PingFang TC Regular" w:cs="PingFang TC Regular"/>
          <w:highlight w:val="none"/>
        </w:rPr>
        <w:t>年末</w:t>
      </w:r>
    </w:p>
    <w:p w14:paraId="2D820A2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8260EA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資格考試相當於「初步論文提案答辯」。在此階段，考官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将</w:t>
      </w:r>
      <w:r>
        <w:rPr>
          <w:rFonts w:hint="eastAsia" w:ascii="PingFang TC Regular" w:hAnsi="PingFang TC Regular" w:eastAsia="PingFang TC Regular" w:cs="PingFang TC Regular"/>
          <w:highlight w:val="none"/>
        </w:rPr>
        <w:t>通過評估三個核心領域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來判斷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是否已準備好進入獨立研究階段：</w:t>
      </w:r>
    </w:p>
    <w:p w14:paraId="184536E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711790A">
      <w:pPr>
        <w:keepNext w:val="0"/>
        <w:keepLines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實踐與過程：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必須展示第1–2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學</w:t>
      </w:r>
      <w:r>
        <w:rPr>
          <w:rFonts w:hint="eastAsia" w:ascii="PingFang TC Regular" w:hAnsi="PingFang TC Regular" w:eastAsia="PingFang TC Regular" w:cs="PingFang TC Regular"/>
          <w:highlight w:val="none"/>
        </w:rPr>
        <w:t>年間創作的連貫作品集，包括對方法論的說明、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TW"/>
        </w:rPr>
        <w:t>你的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創作如何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TW"/>
        </w:rPr>
        <w:t>體現你的思考</w:t>
      </w:r>
      <w:r>
        <w:rPr>
          <w:rFonts w:hint="eastAsia" w:ascii="PingFang TC Regular" w:hAnsi="PingFang TC Regular" w:eastAsia="PingFang TC Regular" w:cs="PingFang TC Regular"/>
          <w:highlight w:val="none"/>
        </w:rPr>
        <w:t>，以及研究日誌或過程檔案中系統記錄的證據</w:t>
      </w:r>
    </w:p>
    <w:p w14:paraId="339826CA">
      <w:pPr>
        <w:keepNext w:val="0"/>
        <w:keepLines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語境與貢獻：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必須提供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一個</w:t>
      </w:r>
      <w:r>
        <w:rPr>
          <w:rFonts w:hint="eastAsia" w:ascii="PingFang TC Regular" w:hAnsi="PingFang TC Regular" w:eastAsia="PingFang TC Regular" w:cs="PingFang TC Regular"/>
          <w:highlight w:val="none"/>
        </w:rPr>
        <w:t>描述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TW"/>
        </w:rPr>
        <w:t>你項目</w:t>
      </w:r>
      <w:r>
        <w:rPr>
          <w:rFonts w:hint="eastAsia" w:ascii="PingFang TC Regular" w:hAnsi="PingFang TC Regular" w:eastAsia="PingFang TC Regular" w:cs="PingFang TC Regular"/>
          <w:highlight w:val="none"/>
        </w:rPr>
        <w:t>的標題和初步的研究問題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可多個問題）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需要指出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你的項目如何</w:t>
      </w:r>
      <w:r>
        <w:rPr>
          <w:rFonts w:hint="eastAsia" w:ascii="PingFang TC Regular" w:hAnsi="PingFang TC Regular" w:eastAsia="PingFang TC Regular" w:cs="PingFang TC Regular"/>
          <w:highlight w:val="none"/>
        </w:rPr>
        <w:t>填補當代藝術話語中的具體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「空白」，</w:t>
      </w:r>
      <w:r>
        <w:rPr>
          <w:rFonts w:hint="eastAsia" w:ascii="PingFang TC Regular" w:hAnsi="PingFang TC Regular" w:eastAsia="PingFang TC Regular" w:cs="PingFang TC Regular"/>
          <w:highlight w:val="none"/>
        </w:rPr>
        <w:t>並展示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的作品與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過去</w:t>
      </w:r>
      <w:r>
        <w:rPr>
          <w:rFonts w:hint="eastAsia" w:ascii="PingFang TC Regular" w:hAnsi="PingFang TC Regular" w:eastAsia="PingFang TC Regular" w:cs="PingFang TC Regular"/>
          <w:highlight w:val="none"/>
        </w:rPr>
        <w:t>或當代理論家的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關聯</w:t>
      </w:r>
    </w:p>
    <w:p w14:paraId="4F4695D5">
      <w:pPr>
        <w:keepNext w:val="0"/>
        <w:keepLines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規劃未來</w:t>
      </w:r>
      <w:r>
        <w:rPr>
          <w:rFonts w:hint="eastAsia" w:ascii="PingFang TC Regular" w:hAnsi="PingFang TC Regular" w:eastAsia="PingFang TC Regular" w:cs="PingFang TC Regular"/>
          <w:highlight w:val="none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必須呈現對最終展覽與論文的初步構想、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一個可行的時間安排計畫、</w:t>
      </w:r>
      <w:r>
        <w:rPr>
          <w:rFonts w:hint="eastAsia" w:ascii="PingFang TC Regular" w:hAnsi="PingFang TC Regular" w:eastAsia="PingFang TC Regular" w:cs="PingFang TC Regular"/>
          <w:highlight w:val="none"/>
        </w:rPr>
        <w:t>以及對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項目</w:t>
      </w:r>
      <w:r>
        <w:rPr>
          <w:rFonts w:hint="eastAsia" w:ascii="PingFang TC Regular" w:hAnsi="PingFang TC Regular" w:eastAsia="PingFang TC Regular" w:cs="PingFang TC Regular"/>
          <w:highlight w:val="none"/>
        </w:rPr>
        <w:t>可行性和所需資源的評估</w:t>
      </w:r>
    </w:p>
    <w:p w14:paraId="3DA92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7ACE6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節點二：開題（TPA）</w:t>
      </w:r>
    </w:p>
    <w:p w14:paraId="3BAF473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時間：通常安排在第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3學</w:t>
      </w:r>
      <w:r>
        <w:rPr>
          <w:rFonts w:hint="eastAsia" w:ascii="PingFang TC Regular" w:hAnsi="PingFang TC Regular" w:eastAsia="PingFang TC Regular" w:cs="PingFang TC Regular"/>
          <w:highlight w:val="none"/>
        </w:rPr>
        <w:t>年</w:t>
      </w:r>
    </w:p>
    <w:p w14:paraId="521E050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A43BC4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開題</w:t>
      </w:r>
      <w:r>
        <w:rPr>
          <w:rFonts w:hint="eastAsia" w:ascii="PingFang TC Regular" w:hAnsi="PingFang TC Regular" w:eastAsia="PingFang TC Regular" w:cs="PingFang TC Regular"/>
          <w:highlight w:val="none"/>
        </w:rPr>
        <w:t>（TPA）是正式的論文提案答辯。雖然它與資格考試的核心內容相同，但對深度和正式化的要求顯著提高。</w:t>
      </w:r>
    </w:p>
    <w:p w14:paraId="6F8BFF54">
      <w:pPr>
        <w:keepNext w:val="0"/>
        <w:keepLines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最終提案</w:t>
      </w:r>
      <w:r>
        <w:rPr>
          <w:rFonts w:hint="eastAsia" w:ascii="PingFang TC Regular" w:hAnsi="PingFang TC Regular" w:eastAsia="PingFang TC Regular" w:cs="PingFang TC Regular"/>
          <w:highlight w:val="none"/>
        </w:rPr>
        <w:t>：TPA要求一份最終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版本的</w:t>
      </w:r>
      <w:r>
        <w:rPr>
          <w:rFonts w:hint="eastAsia" w:ascii="PingFang TC Regular" w:hAnsi="PingFang TC Regular" w:eastAsia="PingFang TC Regular" w:cs="PingFang TC Regular"/>
          <w:highlight w:val="none"/>
        </w:rPr>
        <w:t>、全面的提案</w:t>
      </w:r>
    </w:p>
    <w:p w14:paraId="52131A62">
      <w:pPr>
        <w:keepNext w:val="0"/>
        <w:keepLines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正式候選人資格：成功通過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開題，意味著你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正式轉為博士候選人</w:t>
      </w:r>
    </w:p>
    <w:p w14:paraId="07FFB4D6">
      <w:pPr>
        <w:keepNext w:val="0"/>
        <w:keepLines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最終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範圍</w:t>
      </w:r>
      <w:r>
        <w:rPr>
          <w:rFonts w:hint="eastAsia" w:ascii="PingFang TC Regular" w:hAnsi="PingFang TC Regular" w:eastAsia="PingFang TC Regular" w:cs="PingFang TC Regular"/>
          <w:highlight w:val="none"/>
        </w:rPr>
        <w:t>：此時，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的研究範圍必須清晰界定（例如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3–5個具體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的作品</w:t>
      </w:r>
      <w:r>
        <w:rPr>
          <w:rFonts w:hint="eastAsia" w:ascii="PingFang TC Regular" w:hAnsi="PingFang TC Regular" w:eastAsia="PingFang TC Regular" w:cs="PingFang TC Regular"/>
          <w:highlight w:val="none"/>
        </w:rPr>
        <w:t>系列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某</w:t>
      </w:r>
      <w:r>
        <w:rPr>
          <w:rFonts w:hint="eastAsia" w:ascii="PingFang TC Regular" w:hAnsi="PingFang TC Regular" w:eastAsia="PingFang TC Regular" w:cs="PingFang TC Regular"/>
          <w:highlight w:val="none"/>
        </w:rPr>
        <w:t>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主要</w:t>
      </w:r>
      <w:r>
        <w:rPr>
          <w:rFonts w:hint="eastAsia" w:ascii="PingFang TC Regular" w:hAnsi="PingFang TC Regular" w:eastAsia="PingFang TC Regular" w:cs="PingFang TC Regular"/>
          <w:highlight w:val="none"/>
        </w:rPr>
        <w:t>裝置），並具備應對技術難題的具體策略</w:t>
      </w:r>
    </w:p>
    <w:p w14:paraId="4CE02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71CF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闡述方法論：</w:t>
      </w:r>
    </w:p>
    <w:p w14:paraId="78139A5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方法論是核心。請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说明创作</w:t>
      </w:r>
      <w:r>
        <w:rPr>
          <w:rFonts w:hint="eastAsia" w:ascii="PingFang TC Regular" w:hAnsi="PingFang TC Regular" w:eastAsia="PingFang TC Regular" w:cs="PingFang TC Regular"/>
          <w:highlight w:val="none"/>
        </w:rPr>
        <w:t>實踐是主要的探究方式：</w:t>
      </w:r>
    </w:p>
    <w:p w14:paraId="7EC8697E">
      <w:pPr>
        <w:keepNext w:val="0"/>
        <w:keepLines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詳細說明具體過程（迭代的材料實驗、表演性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行動、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特定</w:t>
      </w:r>
      <w:r>
        <w:rPr>
          <w:rFonts w:hint="eastAsia" w:ascii="PingFang TC Regular" w:hAnsi="PingFang TC Regular" w:eastAsia="PingFang TC Regular" w:cs="PingFang TC Regular"/>
          <w:highlight w:val="none"/>
        </w:rPr>
        <w:t>場域裝置、數字/混合工作流等）</w:t>
      </w:r>
    </w:p>
    <w:p w14:paraId="1077488E">
      <w:pPr>
        <w:keepNext w:val="0"/>
        <w:keepLines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描述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你的迭代回路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：實驗 → 記錄/反思 → 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改善/调整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→ 新迭代</w:t>
      </w:r>
    </w:p>
    <w:p w14:paraId="32816EC5">
      <w:pPr>
        <w:keepNext w:val="0"/>
        <w:keepLines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解釋這些過程如何生成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以</w:t>
      </w:r>
      <w:r>
        <w:rPr>
          <w:rFonts w:hint="eastAsia" w:ascii="PingFang TC Regular" w:hAnsi="PingFang TC Regular" w:eastAsia="PingFang TC Regular" w:cs="PingFang TC Regular"/>
          <w:highlight w:val="none"/>
        </w:rPr>
        <w:t>其他方式無法獲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取</w:t>
      </w:r>
      <w:r>
        <w:rPr>
          <w:rFonts w:hint="eastAsia" w:ascii="PingFang TC Regular" w:hAnsi="PingFang TC Regular" w:eastAsia="PingFang TC Regular" w:cs="PingFang TC Regular"/>
          <w:highlight w:val="none"/>
        </w:rPr>
        <w:t>的知識</w:t>
      </w:r>
    </w:p>
    <w:p w14:paraId="46D12B7E">
      <w:pPr>
        <w:keepNext w:val="0"/>
        <w:keepLines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突出嚴謹性：系統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回顾</w:t>
      </w:r>
      <w:r>
        <w:rPr>
          <w:rFonts w:hint="eastAsia" w:ascii="PingFang TC Regular" w:hAnsi="PingFang TC Regular" w:eastAsia="PingFang TC Regular" w:cs="PingFang TC Regular"/>
          <w:highlight w:val="none"/>
        </w:rPr>
        <w:t>、自我批判、倫理考量</w:t>
      </w:r>
    </w:p>
    <w:p w14:paraId="3F930EF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298CC6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考官會評估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的實踐是否構成嚴謹的、自我反思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式</w:t>
      </w:r>
      <w:r>
        <w:rPr>
          <w:rFonts w:hint="eastAsia" w:ascii="PingFang TC Regular" w:hAnsi="PingFang TC Regular" w:eastAsia="PingFang TC Regular" w:cs="PingFang TC Regular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研究</w:t>
      </w:r>
      <w:r>
        <w:rPr>
          <w:rFonts w:hint="eastAsia" w:ascii="PingFang TC Regular" w:hAnsi="PingFang TC Regular" w:eastAsia="PingFang TC Regular" w:cs="PingFang TC Regular"/>
          <w:highlight w:val="none"/>
        </w:rPr>
        <w:t>，因此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的藝術作品和記錄材料必須證明這一點。</w:t>
      </w:r>
    </w:p>
    <w:p w14:paraId="05E7462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28C4CF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一份可行的計畫能讓考官放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心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能按時完成。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优良的计划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將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有助你自信通过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資格考試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即包含：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展示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项目发展过程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、解釋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TW"/>
        </w:rPr>
        <w:t>作品的思路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、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TW"/>
        </w:rPr>
        <w:t>描述</w:t>
      </w:r>
      <w:r>
        <w:rPr>
          <w:rFonts w:hint="eastAsia" w:ascii="PingFang TC Regular" w:hAnsi="PingFang TC Regular" w:eastAsia="PingFang TC Regular" w:cs="PingFang TC Regular"/>
          <w:highlight w:val="none"/>
        </w:rPr>
        <w:t>其貢獻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並證明可行性。</w:t>
      </w:r>
    </w:p>
    <w:p w14:paraId="33D6E33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CDCA37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69B24F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67B9FA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D77A40C">
      <w:pPr>
        <w:keepNext w:val="0"/>
        <w:keepLines w:val="0"/>
        <w:widowControl w:val="0"/>
        <w:tabs>
          <w:tab w:val="left" w:pos="1543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TW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ab/>
      </w:r>
    </w:p>
    <w:p w14:paraId="15C10599">
      <w:pPr>
        <w:keepNext w:val="0"/>
        <w:keepLines w:val="0"/>
        <w:widowControl w:val="0"/>
        <w:tabs>
          <w:tab w:val="left" w:pos="1543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TW"/>
        </w:rPr>
      </w:pPr>
    </w:p>
    <w:p w14:paraId="54DA1F82">
      <w:pPr>
        <w:keepNext w:val="0"/>
        <w:keepLines w:val="0"/>
        <w:widowControl w:val="0"/>
        <w:tabs>
          <w:tab w:val="left" w:pos="1543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TW"/>
        </w:rPr>
      </w:pPr>
    </w:p>
    <w:p w14:paraId="124F801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C334661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</w:pP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  <w:t>第三部分：藝術家作為研究者（第2-3</w:t>
      </w: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val="en-US" w:eastAsia="zh-CN"/>
        </w:rPr>
        <w:t>學</w:t>
      </w: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  <w:t>年）</w:t>
      </w:r>
    </w:p>
    <w:p w14:paraId="201B737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980EDA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776232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</w:pP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「創意是一種習慣，而最好的創意源於良好的工作習慣。」</w:t>
      </w:r>
    </w:p>
    <w:p w14:paraId="52BCE90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</w:pP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——崔拉•夏普（Twyla Tharp），《創意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CN"/>
        </w:rPr>
        <w:t>是一種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習慣》（The Creative Habit ，張老師文化事業股份有限公司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200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CN"/>
        </w:rPr>
        <w:t>5年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）</w:t>
      </w:r>
    </w:p>
    <w:p w14:paraId="765288E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511B25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FBF314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CN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当你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成功完成早期階段審查（通常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是</w:t>
      </w:r>
      <w:r>
        <w:rPr>
          <w:rFonts w:hint="eastAsia" w:ascii="PingFang TC Regular" w:hAnsi="PingFang TC Regular" w:eastAsia="PingFang TC Regular" w:cs="PingFang TC Regular"/>
          <w:highlight w:val="none"/>
        </w:rPr>
        <w:t>資格考試）後，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即</w:t>
      </w:r>
      <w:r>
        <w:rPr>
          <w:rFonts w:hint="eastAsia" w:ascii="PingFang TC Regular" w:hAnsi="PingFang TC Regular" w:eastAsia="PingFang TC Regular" w:cs="PingFang TC Regular"/>
          <w:highlight w:val="none"/>
        </w:rPr>
        <w:t>確認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了你的實踐主導的研究軌跡，並通常標誌著必修課程的結束。博士候選人資格通常在中期的提案審查後正式確認。此時，藝術家工作室/你的實踐將成為你知識生產的主要來源。你通</w:t>
      </w:r>
      <w:r>
        <w:rPr>
          <w:rFonts w:hint="eastAsia" w:ascii="PingFang TC Regular" w:hAnsi="PingFang TC Regular" w:eastAsia="PingFang TC Regular" w:cs="PingFang TC Regular"/>
          <w:highlight w:val="none"/>
        </w:rPr>
        <w:t>過持續、獨立的實驗來推進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项目，从而把握好你的</w:t>
      </w:r>
      <w:r>
        <w:rPr>
          <w:rFonts w:hint="eastAsia" w:ascii="PingFang TC Regular" w:hAnsi="PingFang TC Regular" w:eastAsia="PingFang TC Regular" w:cs="PingFang TC Regular"/>
          <w:highlight w:val="none"/>
        </w:rPr>
        <w:t>時間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。</w:t>
      </w:r>
    </w:p>
    <w:p w14:paraId="79FFBAD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CN"/>
        </w:rPr>
      </w:pPr>
    </w:p>
    <w:p w14:paraId="365DEE8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CN"/>
        </w:rPr>
      </w:pPr>
    </w:p>
    <w:p w14:paraId="537DFD7C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  <w:t>研究型藝術家</w:t>
      </w: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 xml:space="preserve">Artist-Researchers的方法論 </w:t>
      </w:r>
    </w:p>
    <w:p w14:paraId="176AB0C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實踐型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艺术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研究將創作定位為主要的探究方式。知識通過創作本身產生：材料實驗、迭代過程、感官參與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以及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伴随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作品的批判性反思。藝術作品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TW"/>
        </w:rPr>
        <w:t>不是僅作為你論文的配圖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，而是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TW"/>
        </w:rPr>
        <w:t>作為你研究的積極貢獻者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。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的角色是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在工作室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/實踐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中提出問題，通過創作進行測試，嚴謹記錄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並反思從中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发现的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。</w:t>
      </w:r>
    </w:p>
    <w:p w14:paraId="1627A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873D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以藝術家工作室為基礎的方法：  </w:t>
      </w:r>
    </w:p>
    <w:p w14:paraId="411BBC0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工作室是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的實驗室。核心方法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即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圍繞動手探索：  </w:t>
      </w:r>
    </w:p>
    <w:p w14:paraId="5ADB541B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材料探索：研究特定媒介如何承載意義或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引起反應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</w:t>
      </w:r>
    </w:p>
    <w:p w14:paraId="4471B537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過程作為探究：通過迭代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回路</w:t>
      </w:r>
      <w:r>
        <w:rPr>
          <w:rFonts w:hint="eastAsia" w:ascii="PingFang TC Regular" w:hAnsi="PingFang TC Regular" w:eastAsia="PingFang TC Regular" w:cs="PingFang TC Regular"/>
          <w:highlight w:val="none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有意識的重複行為</w:t>
      </w:r>
      <w:r>
        <w:rPr>
          <w:rFonts w:hint="eastAsia" w:ascii="PingFang TC Regular" w:hAnsi="PingFang TC Regular" w:eastAsia="PingFang TC Regular" w:cs="PingFang TC Regular"/>
          <w:highlight w:val="none"/>
        </w:rPr>
        <w:t>、材料轉化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等，</w:t>
      </w:r>
      <w:r>
        <w:rPr>
          <w:rFonts w:hint="eastAsia" w:ascii="PingFang TC Regular" w:hAnsi="PingFang TC Regular" w:eastAsia="PingFang TC Regular" w:cs="PingFang TC Regular"/>
          <w:highlight w:val="none"/>
        </w:rPr>
        <w:t>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製</w:t>
      </w:r>
      <w:r>
        <w:rPr>
          <w:rFonts w:hint="eastAsia" w:ascii="PingFang TC Regular" w:hAnsi="PingFang TC Regular" w:eastAsia="PingFang TC Regular" w:cs="PingFang TC Regular"/>
          <w:highlight w:val="none"/>
        </w:rPr>
        <w:t>作視為一種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思維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形式 </w:t>
      </w:r>
    </w:p>
    <w:p w14:paraId="15345FEC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迭代與反思：在日誌中記錄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下迭代過程的不同版本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，並進行持續批判性反思  </w:t>
      </w:r>
    </w:p>
    <w:p w14:paraId="48ABFD2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3CD329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這些方法強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調親身經歷</w:t>
      </w:r>
      <w:r>
        <w:rPr>
          <w:rFonts w:hint="eastAsia" w:ascii="PingFang TC Regular" w:hAnsi="PingFang TC Regular" w:eastAsia="PingFang TC Regular" w:cs="PingFang TC Regular"/>
          <w:highlight w:val="none"/>
        </w:rPr>
        <w:t>與物質性：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的身體、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輔助</w:t>
      </w:r>
      <w:r>
        <w:rPr>
          <w:rFonts w:hint="eastAsia" w:ascii="PingFang TC Regular" w:hAnsi="PingFang TC Regular" w:eastAsia="PingFang TC Regular" w:cs="PingFang TC Regular"/>
          <w:highlight w:val="none"/>
        </w:rPr>
        <w:t>工具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周遭</w:t>
      </w:r>
      <w:r>
        <w:rPr>
          <w:rFonts w:hint="eastAsia" w:ascii="PingFang TC Regular" w:hAnsi="PingFang TC Regular" w:eastAsia="PingFang TC Regular" w:cs="PingFang TC Regular"/>
          <w:highlight w:val="none"/>
        </w:rPr>
        <w:t>環境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亦作</w:t>
      </w:r>
      <w:r>
        <w:rPr>
          <w:rFonts w:hint="eastAsia" w:ascii="PingFang TC Regular" w:hAnsi="PingFang TC Regular" w:eastAsia="PingFang TC Regular" w:cs="PingFang TC Regular"/>
          <w:highlight w:val="none"/>
        </w:rPr>
        <w:t>為研究的一部分。</w:t>
      </w:r>
    </w:p>
    <w:p w14:paraId="15EFF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5A2E0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跨學科方法：  </w:t>
      </w:r>
    </w:p>
    <w:p w14:paraId="2BF9258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實踐型研究在跨越邊界中蓬勃發展：  </w:t>
      </w:r>
    </w:p>
    <w:p w14:paraId="7D15DBAC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哲學：運用現象學探討具身感知  </w:t>
      </w:r>
    </w:p>
    <w:p w14:paraId="1004417E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文學：融入敘事或詩性結構  </w:t>
      </w:r>
    </w:p>
    <w:p w14:paraId="4A47DD88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藝術史/理論：將文本或範式作為新形式的催化劑  </w:t>
      </w:r>
    </w:p>
    <w:p w14:paraId="0C59CD38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人類學/社會學：通過參與式元素考察社會關係  </w:t>
      </w:r>
    </w:p>
    <w:p w14:paraId="13CB056F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科學與技術：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融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合計算工具（如生成式AI）以及不同科學學科的概念（如生物藝術過程）  </w:t>
      </w:r>
    </w:p>
    <w:p w14:paraId="50DE0995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符號學：運用符號理論更好地理解象徵與視覺語言  </w:t>
      </w:r>
    </w:p>
    <w:p w14:paraId="17F1537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8C5350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這些橋樑既啟發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的實踐，又被實踐所轉化，常催生創新的混合形式。  推薦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以下</w:t>
      </w:r>
      <w:r>
        <w:rPr>
          <w:rFonts w:hint="eastAsia" w:ascii="PingFang TC Regular" w:hAnsi="PingFang TC Regular" w:eastAsia="PingFang TC Regular" w:cs="PingFang TC Regular"/>
          <w:highlight w:val="none"/>
        </w:rPr>
        <w:t>文本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以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深入探索：  </w:t>
      </w:r>
    </w:p>
    <w:p w14:paraId="0A5063AE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藝術實踐作為研究》：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Graeme Sullivan, 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 xml:space="preserve">Art Practice as Research 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(SAGE, 2005/2010)  </w:t>
      </w:r>
    </w:p>
    <w:p w14:paraId="419C9BEA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實踐作為研究：以創作方式進行研究的方法》：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Estelle Barrett and Barbara Bolt (eds.), 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Practice as Research: Approaches to Creative Arts Enquiry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(I.B. Tauris, 2007/2014)  </w:t>
      </w:r>
    </w:p>
    <w:p w14:paraId="575CBCCF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學科的衝突》：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Henk Borgdorff, 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The Conflict of the Faculties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(Leiden University Press, 2012)  </w:t>
      </w:r>
    </w:p>
    <w:p w14:paraId="6A99DCCD">
      <w:pPr>
        <w:keepNext w:val="0"/>
        <w:keepLines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方法遇見藝術：藝術研究實踐》：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Patricia Leavy, 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Method Meets Art: Arts-Based Research Practice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(Guilford Press)</w:t>
      </w:r>
    </w:p>
    <w:p w14:paraId="137925D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46F0F112">
      <w:pPr>
        <w:keepNext w:val="0"/>
        <w:keepLines w:val="0"/>
        <w:widowControl w:val="0"/>
        <w:tabs>
          <w:tab w:val="left" w:pos="1601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eastAsia="zh-TW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ab/>
      </w:r>
    </w:p>
    <w:p w14:paraId="684B2461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 xml:space="preserve">繪製地圖：文獻綜述  </w:t>
      </w:r>
    </w:p>
    <w:p w14:paraId="46C233D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文獻綜述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並不是一本本你讀過書籍</w:t>
      </w:r>
      <w:r>
        <w:rPr>
          <w:rFonts w:hint="eastAsia" w:ascii="PingFang TC Regular" w:hAnsi="PingFang TC Regular" w:eastAsia="PingFang TC Regular" w:cs="PingFang TC Regular"/>
          <w:highlight w:val="none"/>
        </w:rPr>
        <w:t>的靜態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列表，而是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繪製一張你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正在加入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自己討論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的批判性地圖。在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藝術博士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中，這張地圖不僅包括書面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論文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，還包括視覺和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材料的案例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，即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那些你研究領域中的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「視覺文獻」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如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藝術作品、</w:t>
      </w:r>
      <w:r>
        <w:rPr>
          <w:rFonts w:hint="eastAsia" w:ascii="PingFang TC Regular" w:hAnsi="PingFang TC Regular" w:eastAsia="PingFang TC Regular" w:cs="PingFang TC Regular"/>
          <w:highlight w:val="none"/>
        </w:rPr>
        <w:t>展覽和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創作等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35951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CC24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為什麼必須進行文獻綜述：  </w:t>
      </w:r>
    </w:p>
    <w:p w14:paraId="2B28EC27">
      <w:pPr>
        <w:keepNext w:val="0"/>
        <w:keepLines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color w:val="auto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確定空白：除非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清楚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前人已經做過什麼</w:t>
      </w:r>
      <w:r>
        <w:rPr>
          <w:rFonts w:hint="eastAsia" w:ascii="PingFang TC Regular" w:hAnsi="PingFang TC Regular" w:eastAsia="PingFang TC Regular" w:cs="PingFang TC Regular"/>
          <w:highlight w:val="none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不然你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無法聲稱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的作品具有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原創性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eastAsia="zh-TW"/>
        </w:rPr>
        <w:t>。</w:t>
      </w:r>
    </w:p>
    <w:p w14:paraId="5B9C1C63">
      <w:pPr>
        <w:keepNext w:val="0"/>
        <w:keepLines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80" w:leftChars="200" w:firstLine="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文獻綜述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旨在說明，你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項目涉及了</w:t>
      </w:r>
      <w:r>
        <w:rPr>
          <w:rFonts w:hint="eastAsia" w:ascii="PingFang TC Regular" w:hAnsi="PingFang TC Regular" w:eastAsia="PingFang TC Regular" w:cs="PingFang TC Regular"/>
          <w:highlight w:val="none"/>
        </w:rPr>
        <w:t>當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下</w:t>
      </w:r>
      <w:r>
        <w:rPr>
          <w:rFonts w:hint="eastAsia" w:ascii="PingFang TC Regular" w:hAnsi="PingFang TC Regular" w:eastAsia="PingFang TC Regular" w:cs="PingFang TC Regular"/>
          <w:highlight w:val="none"/>
        </w:rPr>
        <w:t>藝術中的特定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空白</w:t>
      </w:r>
      <w:r>
        <w:rPr>
          <w:rFonts w:hint="eastAsia" w:ascii="PingFang TC Regular" w:hAnsi="PingFang TC Regular" w:eastAsia="PingFang TC Regular" w:cs="PingFang TC Regular"/>
          <w:highlight w:val="none"/>
        </w:rPr>
        <w:t>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懸而未決的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問題</w:t>
      </w:r>
    </w:p>
    <w:p w14:paraId="1B4FA308">
      <w:pPr>
        <w:keepNext w:val="0"/>
        <w:keepLines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搭</w:t>
      </w:r>
      <w:r>
        <w:rPr>
          <w:rFonts w:hint="eastAsia" w:ascii="PingFang TC Regular" w:hAnsi="PingFang TC Regular" w:eastAsia="PingFang TC Regular" w:cs="PingFang TC Regular"/>
          <w:highlight w:val="none"/>
        </w:rPr>
        <w:t>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一個</w:t>
      </w:r>
      <w:r>
        <w:rPr>
          <w:rFonts w:hint="eastAsia" w:ascii="PingFang TC Regular" w:hAnsi="PingFang TC Regular" w:eastAsia="PingFang TC Regular" w:cs="PingFang TC Regular"/>
          <w:highlight w:val="none"/>
        </w:rPr>
        <w:t>理論框架：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當你需</w:t>
      </w:r>
      <w:r>
        <w:rPr>
          <w:rFonts w:hint="eastAsia" w:ascii="PingFang TC Regular" w:hAnsi="PingFang TC Regular" w:eastAsia="PingFang TC Regular" w:cs="PingFang TC Regular"/>
          <w:highlight w:val="none"/>
        </w:rPr>
        <w:t>分析自身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實踐及</w:t>
      </w:r>
      <w:r>
        <w:rPr>
          <w:rFonts w:hint="eastAsia" w:ascii="PingFang TC Regular" w:hAnsi="PingFang TC Regular" w:eastAsia="PingFang TC Regular" w:cs="PingFang TC Regular"/>
          <w:highlight w:val="none"/>
        </w:rPr>
        <w:t>發現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時，</w:t>
      </w:r>
      <w:r>
        <w:rPr>
          <w:rFonts w:hint="eastAsia" w:ascii="PingFang TC Regular" w:hAnsi="PingFang TC Regular" w:eastAsia="PingFang TC Regular" w:cs="PingFang TC Regular"/>
          <w:highlight w:val="none"/>
        </w:rPr>
        <w:t>它提供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了</w:t>
      </w:r>
      <w:r>
        <w:rPr>
          <w:rFonts w:hint="eastAsia" w:ascii="PingFang TC Regular" w:hAnsi="PingFang TC Regular" w:eastAsia="PingFang TC Regular" w:cs="PingFang TC Regular"/>
          <w:highlight w:val="none"/>
        </w:rPr>
        <w:t>所需的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理論語言</w:t>
      </w:r>
      <w:r>
        <w:rPr>
          <w:rFonts w:hint="eastAsia" w:ascii="PingFang TC Regular" w:hAnsi="PingFang TC Regular" w:eastAsia="PingFang TC Regular" w:cs="PingFang TC Regular"/>
          <w:highlight w:val="none"/>
        </w:rPr>
        <w:t>和概念</w:t>
      </w:r>
    </w:p>
    <w:p w14:paraId="6470441C">
      <w:pPr>
        <w:keepNext w:val="0"/>
        <w:keepLines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說</w:t>
      </w:r>
      <w:r>
        <w:rPr>
          <w:rFonts w:hint="eastAsia" w:ascii="PingFang TC Regular" w:hAnsi="PingFang TC Regular" w:eastAsia="PingFang TC Regular" w:cs="PingFang TC Regular"/>
          <w:highlight w:val="none"/>
        </w:rPr>
        <w:t>明方法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合理：它讓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你能告訴其他研究型藝術家</w:t>
      </w:r>
      <w:r>
        <w:rPr>
          <w:rFonts w:hint="eastAsia" w:ascii="PingFang TC Regular" w:hAnsi="PingFang TC Regular" w:eastAsia="PingFang TC Regular" w:cs="PingFang TC Regular"/>
          <w:highlight w:val="none"/>
        </w:rPr>
        <w:t>：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由於這些思想家在文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字</w:t>
      </w:r>
      <w:r>
        <w:rPr>
          <w:rFonts w:hint="eastAsia" w:ascii="PingFang TC Regular" w:hAnsi="PingFang TC Regular" w:eastAsia="PingFang TC Regular" w:cs="PingFang TC Regular"/>
          <w:highlight w:val="none"/>
        </w:rPr>
        <w:t>上已達到極限，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而</w:t>
      </w:r>
      <w:r>
        <w:rPr>
          <w:rFonts w:hint="eastAsia" w:ascii="PingFang TC Regular" w:hAnsi="PingFang TC Regular" w:eastAsia="PingFang TC Regular" w:cs="PingFang TC Regular"/>
          <w:highlight w:val="none"/>
        </w:rPr>
        <w:t>我用實踐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將其</w:t>
      </w:r>
      <w:r>
        <w:rPr>
          <w:rFonts w:hint="eastAsia" w:ascii="PingFang TC Regular" w:hAnsi="PingFang TC Regular" w:eastAsia="PingFang TC Regular" w:cs="PingFang TC Regular"/>
          <w:highlight w:val="none"/>
        </w:rPr>
        <w:t>進一步推進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」</w:t>
      </w:r>
    </w:p>
    <w:p w14:paraId="34179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95FE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如何進行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——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 「三鏡頭」方法：</w:t>
      </w:r>
    </w:p>
    <w:p w14:paraId="0FBEA82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為使文獻綜述易於管理且相關，請通過以下三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組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鏡頭審視：  </w:t>
      </w:r>
    </w:p>
    <w:p w14:paraId="5C9651EB">
      <w:pPr>
        <w:keepNext w:val="0"/>
        <w:keepLines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理論鏡頭：哪些哲學家或理論家為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>提供了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思考工具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highlight w:val="none"/>
        </w:rPr>
        <w:t>（例如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現象學、符號學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或後人文主義）？  </w:t>
      </w:r>
    </w:p>
    <w:p w14:paraId="022E737C">
      <w:pPr>
        <w:keepNext w:val="0"/>
        <w:keepLines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實踐鏡頭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</w:rPr>
        <w:t>哪些藝術家或展覽探索過相似主題或材料？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如何延伸或挑戰他們的發現？  </w:t>
      </w:r>
    </w:p>
    <w:p w14:paraId="3F04AAC6">
      <w:pPr>
        <w:keepNext w:val="0"/>
        <w:keepLines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語境鏡頭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你的研究</w:t>
      </w:r>
      <w:r>
        <w:rPr>
          <w:rFonts w:hint="eastAsia" w:ascii="PingFang TC Regular" w:hAnsi="PingFang TC Regular" w:eastAsia="PingFang TC Regular" w:cs="PingFang TC Regular"/>
          <w:highlight w:val="none"/>
        </w:rPr>
        <w:t>具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備</w:t>
      </w:r>
      <w:r>
        <w:rPr>
          <w:rFonts w:hint="eastAsia" w:ascii="PingFang TC Regular" w:hAnsi="PingFang TC Regular" w:eastAsia="PingFang TC Regular" w:cs="PingFang TC Regular"/>
          <w:highlight w:val="none"/>
        </w:rPr>
        <w:t>怎樣的文化、歷史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或科學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等</w:t>
      </w:r>
      <w:r>
        <w:rPr>
          <w:rFonts w:hint="eastAsia" w:ascii="PingFang TC Regular" w:hAnsi="PingFang TC Regular" w:eastAsia="PingFang TC Regular" w:cs="PingFang TC Regular"/>
          <w:highlight w:val="none"/>
        </w:rPr>
        <w:t>更廣泛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意義上的</w:t>
      </w:r>
      <w:r>
        <w:rPr>
          <w:rFonts w:hint="eastAsia" w:ascii="PingFang TC Regular" w:hAnsi="PingFang TC Regular" w:eastAsia="PingFang TC Regular" w:cs="PingFang TC Regular"/>
          <w:highlight w:val="none"/>
        </w:rPr>
        <w:t>背景？</w:t>
      </w:r>
    </w:p>
    <w:p w14:paraId="3C4FD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4E46E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過程：從捕捉到綜合：</w:t>
      </w:r>
    </w:p>
    <w:p w14:paraId="31D5FD38">
      <w:pPr>
        <w:keepNext w:val="0"/>
        <w:keepLines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從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個人術語表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highlight w:val="none"/>
        </w:rPr>
        <w:t>開始：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當你</w:t>
      </w:r>
      <w:r>
        <w:rPr>
          <w:rFonts w:hint="eastAsia" w:ascii="PingFang TC Regular" w:hAnsi="PingFang TC Regular" w:eastAsia="PingFang TC Regular" w:cs="PingFang TC Regular"/>
          <w:highlight w:val="none"/>
        </w:rPr>
        <w:t>閱讀時，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先</w:t>
      </w:r>
      <w:r>
        <w:rPr>
          <w:rFonts w:hint="eastAsia" w:ascii="PingFang TC Regular" w:hAnsi="PingFang TC Regular" w:eastAsia="PingFang TC Regular" w:cs="PingFang TC Regular"/>
          <w:highlight w:val="none"/>
        </w:rPr>
        <w:t>用自己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創建的詞語來</w:t>
      </w:r>
      <w:r>
        <w:rPr>
          <w:rFonts w:hint="eastAsia" w:ascii="PingFang TC Regular" w:hAnsi="PingFang TC Regular" w:eastAsia="PingFang TC Regular" w:cs="PingFang TC Regular"/>
          <w:highlight w:val="none"/>
        </w:rPr>
        <w:t>定義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若干</w:t>
      </w:r>
      <w:r>
        <w:rPr>
          <w:rFonts w:hint="eastAsia" w:ascii="PingFang TC Regular" w:hAnsi="PingFang TC Regular" w:eastAsia="PingFang TC Regular" w:cs="PingFang TC Regular"/>
          <w:highlight w:val="none"/>
        </w:rPr>
        <w:t>關鍵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詞</w:t>
      </w:r>
      <w:r>
        <w:rPr>
          <w:rFonts w:hint="eastAsia" w:ascii="PingFang TC Regular" w:hAnsi="PingFang TC Regular" w:eastAsia="PingFang TC Regular" w:cs="PingFang TC Regular"/>
          <w:highlight w:val="none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從而梳理你的</w:t>
      </w:r>
      <w:r>
        <w:rPr>
          <w:rFonts w:hint="eastAsia" w:ascii="PingFang TC Regular" w:hAnsi="PingFang TC Regular" w:eastAsia="PingFang TC Regular" w:cs="PingFang TC Regular"/>
          <w:highlight w:val="none"/>
        </w:rPr>
        <w:t>理解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以及去</w:t>
      </w:r>
      <w:r>
        <w:rPr>
          <w:rFonts w:hint="eastAsia" w:ascii="PingFang TC Regular" w:hAnsi="PingFang TC Regular" w:eastAsia="PingFang TC Regular" w:cs="PingFang TC Regular"/>
          <w:highlight w:val="none"/>
        </w:rPr>
        <w:t>揭示當前話語中的空白</w:t>
      </w:r>
    </w:p>
    <w:p w14:paraId="2824E607">
      <w:pPr>
        <w:keepNext w:val="0"/>
        <w:keepLines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使用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視覺文獻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highlight w:val="none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應</w:t>
      </w:r>
      <w:r>
        <w:rPr>
          <w:rFonts w:hint="eastAsia" w:ascii="PingFang TC Regular" w:hAnsi="PingFang TC Regular" w:eastAsia="PingFang TC Regular" w:cs="PingFang TC Regular"/>
          <w:highlight w:val="none"/>
        </w:rPr>
        <w:t>以對待期刊文章同樣的學術嚴謹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去</w:t>
      </w:r>
      <w:r>
        <w:rPr>
          <w:rFonts w:hint="eastAsia" w:ascii="PingFang TC Regular" w:hAnsi="PingFang TC Regular" w:eastAsia="PingFang TC Regular" w:cs="PingFang TC Regular"/>
          <w:highlight w:val="none"/>
        </w:rPr>
        <w:t>對待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一本</w:t>
      </w:r>
      <w:r>
        <w:rPr>
          <w:rFonts w:hint="eastAsia" w:ascii="PingFang TC Regular" w:hAnsi="PingFang TC Regular" w:eastAsia="PingFang TC Regular" w:cs="PingFang TC Regular"/>
          <w:highlight w:val="none"/>
        </w:rPr>
        <w:t>展覽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冊子</w:t>
      </w:r>
      <w:r>
        <w:rPr>
          <w:rFonts w:hint="eastAsia" w:ascii="PingFang TC Regular" w:hAnsi="PingFang TC Regular" w:eastAsia="PingFang TC Regular" w:cs="PingFang TC Regular"/>
          <w:highlight w:val="none"/>
        </w:rPr>
        <w:t>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一部</w:t>
      </w:r>
      <w:r>
        <w:rPr>
          <w:rFonts w:hint="eastAsia" w:ascii="PingFang TC Regular" w:hAnsi="PingFang TC Regular" w:eastAsia="PingFang TC Regular" w:cs="PingFang TC Regular"/>
          <w:highlight w:val="none"/>
        </w:rPr>
        <w:t>影片</w:t>
      </w:r>
    </w:p>
    <w:p w14:paraId="60E038EB">
      <w:pPr>
        <w:keepNext w:val="0"/>
        <w:keepLines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持續寫作：不要等到最後一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學年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才開始寫！每次</w:t>
      </w:r>
      <w:r>
        <w:rPr>
          <w:rFonts w:hint="eastAsia" w:ascii="PingFang TC Regular" w:hAnsi="PingFang TC Regular" w:eastAsia="PingFang TC Regular" w:cs="PingFang TC Regular"/>
          <w:highlight w:val="none"/>
        </w:rPr>
        <w:t>閱讀後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應</w:t>
      </w:r>
      <w:r>
        <w:rPr>
          <w:rFonts w:hint="eastAsia" w:ascii="PingFang TC Regular" w:hAnsi="PingFang TC Regular" w:eastAsia="PingFang TC Regular" w:cs="PingFang TC Regular"/>
          <w:highlight w:val="none"/>
        </w:rPr>
        <w:t>在研究日誌中寫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一些</w:t>
      </w:r>
      <w:r>
        <w:rPr>
          <w:rFonts w:hint="eastAsia" w:ascii="PingFang TC Regular" w:hAnsi="PingFang TC Regular" w:eastAsia="PingFang TC Regular" w:cs="PingFang TC Regular"/>
          <w:highlight w:val="none"/>
        </w:rPr>
        <w:t>簡短摘要，注明它們如何與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當前的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實踐</w:t>
      </w:r>
      <w:r>
        <w:rPr>
          <w:rFonts w:hint="eastAsia" w:ascii="PingFang TC Regular" w:hAnsi="PingFang TC Regular" w:eastAsia="PingFang TC Regular" w:cs="PingFang TC Regular"/>
          <w:highlight w:val="none"/>
        </w:rPr>
        <w:t>產生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關聯</w:t>
      </w:r>
    </w:p>
    <w:p w14:paraId="5EA96B7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15CCC1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到第2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學</w:t>
      </w:r>
      <w:r>
        <w:rPr>
          <w:rFonts w:hint="eastAsia" w:ascii="PingFang TC Regular" w:hAnsi="PingFang TC Regular" w:eastAsia="PingFang TC Regular" w:cs="PingFang TC Regular"/>
          <w:highlight w:val="none"/>
        </w:rPr>
        <w:t>年資格考試和第3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學</w:t>
      </w:r>
      <w:r>
        <w:rPr>
          <w:rFonts w:hint="eastAsia" w:ascii="PingFang TC Regular" w:hAnsi="PingFang TC Regular" w:eastAsia="PingFang TC Regular" w:cs="PingFang TC Regular"/>
          <w:highlight w:val="none"/>
        </w:rPr>
        <w:t>年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開題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時，這一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張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持續繪製的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批判性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地圖將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構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成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提案的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一部分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，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表明你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創作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實踐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是一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個促進已有知識的複雜體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3C93D16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EA9FEB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F6A4693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收集與記錄你的研究</w:t>
      </w:r>
    </w:p>
    <w:p w14:paraId="586E0A8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作為博士候選人，收集證據與創作同樣重要。記錄是展示嚴謹性、追蹤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研究过程、</w:t>
      </w:r>
      <w:r>
        <w:rPr>
          <w:rFonts w:hint="eastAsia" w:ascii="PingFang TC Regular" w:hAnsi="PingFang TC Regular" w:eastAsia="PingFang TC Regular" w:cs="PingFang TC Regular"/>
          <w:highlight w:val="none"/>
        </w:rPr>
        <w:t>並實現反思的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必要</w:t>
      </w:r>
      <w:r>
        <w:rPr>
          <w:rFonts w:hint="eastAsia" w:ascii="PingFang TC Regular" w:hAnsi="PingFang TC Regular" w:eastAsia="PingFang TC Regular" w:cs="PingFang TC Regular"/>
          <w:highlight w:val="none"/>
        </w:rPr>
        <w:t>部分。</w:t>
      </w:r>
    </w:p>
    <w:p w14:paraId="1A18F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51C63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藝術家工作室作為實驗室：</w:t>
      </w:r>
    </w:p>
    <w:p w14:paraId="3C02FBF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系統地捕捉過程，包括：  </w:t>
      </w:r>
    </w:p>
    <w:p w14:paraId="35D985AF">
      <w:pPr>
        <w:keepNext w:val="0"/>
        <w:keepLines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素描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本/筆記本（傳統紙質筆記本或混合數字媒介）：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快速草圖、注釋、反思筆記  </w:t>
      </w:r>
    </w:p>
    <w:p w14:paraId="0FBAEDFC">
      <w:pPr>
        <w:keepNext w:val="0"/>
        <w:keepLines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攝影：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高分辨率</w:t>
      </w:r>
      <w:r>
        <w:rPr>
          <w:rFonts w:hint="eastAsia" w:ascii="PingFang TC Regular" w:hAnsi="PingFang TC Regular" w:eastAsia="PingFang TC Regular" w:cs="PingFang TC Regular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有良好照明的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工作過程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照片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</w:t>
      </w:r>
    </w:p>
    <w:p w14:paraId="1F91A25C">
      <w:pPr>
        <w:keepNext w:val="0"/>
        <w:keepLines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視頻：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延時錄影或對行為的記錄</w:t>
      </w:r>
    </w:p>
    <w:p w14:paraId="12F37293">
      <w:pPr>
        <w:keepNext w:val="0"/>
        <w:keepLines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音頻：用於即時反思的語音備忘錄  </w:t>
      </w:r>
    </w:p>
    <w:p w14:paraId="3306C23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8FF228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目標是全面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且有</w:t>
      </w:r>
      <w:r>
        <w:rPr>
          <w:rFonts w:hint="eastAsia" w:ascii="PingFang TC Regular" w:hAnsi="PingFang TC Regular" w:eastAsia="PingFang TC Regular" w:cs="PingFang TC Regular"/>
          <w:highlight w:val="none"/>
        </w:rPr>
        <w:t>選擇性的存檔。每日習慣（每次工作結束時拍照 + 3句反思）將為論文和答辯積累豐富證據。</w:t>
      </w:r>
    </w:p>
    <w:p w14:paraId="19E6A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4C7AA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與人合作：</w:t>
      </w:r>
    </w:p>
    <w:p w14:paraId="1B93EAA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當研究涉及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人類</w:t>
      </w:r>
      <w:r>
        <w:rPr>
          <w:rFonts w:hint="eastAsia" w:ascii="PingFang TC Regular" w:hAnsi="PingFang TC Regular" w:eastAsia="PingFang TC Regular" w:cs="PingFang TC Regular"/>
          <w:highlight w:val="none"/>
        </w:rPr>
        <w:t>參與者（合作者、觀眾、社區成員、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有類似</w:t>
      </w:r>
      <w:r>
        <w:rPr>
          <w:rFonts w:hint="eastAsia" w:ascii="PingFang TC Regular" w:hAnsi="PingFang TC Regular" w:eastAsia="PingFang TC Regular" w:cs="PingFang TC Regular"/>
          <w:highlight w:val="none"/>
        </w:rPr>
        <w:t>實踐的藝術家）時，訪談能產生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高品質的</w:t>
      </w:r>
      <w:r>
        <w:rPr>
          <w:rFonts w:hint="eastAsia" w:ascii="PingFang TC Regular" w:hAnsi="PingFang TC Regular" w:eastAsia="PingFang TC Regular" w:cs="PingFang TC Regular"/>
          <w:highlight w:val="none"/>
        </w:rPr>
        <w:t>洞見。</w:t>
      </w:r>
    </w:p>
    <w:p w14:paraId="2190DB5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C795B48">
      <w:pPr>
        <w:keepNext w:val="0"/>
        <w:keepLines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倫理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方面的考量</w:t>
      </w:r>
      <w:r>
        <w:rPr>
          <w:rFonts w:hint="eastAsia" w:ascii="PingFang TC Regular" w:hAnsi="PingFang TC Regular" w:eastAsia="PingFang TC Regular" w:cs="PingFang TC Regular"/>
          <w:highlight w:val="none"/>
        </w:rPr>
        <w:t>：優先考慮尊重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對象，</w:t>
      </w:r>
      <w:r>
        <w:rPr>
          <w:rFonts w:hint="eastAsia" w:ascii="PingFang TC Regular" w:hAnsi="PingFang TC Regular" w:eastAsia="PingFang TC Regular" w:cs="PingFang TC Regular"/>
          <w:highlight w:val="none"/>
        </w:rPr>
        <w:t>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保證資訊公開</w:t>
      </w:r>
      <w:r>
        <w:rPr>
          <w:rFonts w:hint="eastAsia" w:ascii="PingFang TC Regular" w:hAnsi="PingFang TC Regular" w:eastAsia="PingFang TC Regular" w:cs="PingFang TC Regular"/>
          <w:highlight w:val="none"/>
        </w:rPr>
        <w:t>透明</w:t>
      </w:r>
      <w:r>
        <w:rPr>
          <w:rStyle w:val="21"/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footnoteReference w:id="4"/>
      </w:r>
      <w:r>
        <w:rPr>
          <w:rFonts w:hint="eastAsia" w:ascii="PingFang TC Regular" w:hAnsi="PingFang TC Regular" w:eastAsia="PingFang TC Regular" w:cs="PingFang TC Regular"/>
          <w:highlight w:val="none"/>
        </w:rPr>
        <w:t>。獲得知情同意，說明目的、風險/益處、匿名性、數據使用方式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以及隨時撤回權利。當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的實踐涉及人類參與者（例如訪談、合作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項目</w:t>
      </w:r>
      <w:r>
        <w:rPr>
          <w:rFonts w:hint="eastAsia" w:ascii="PingFang TC Regular" w:hAnsi="PingFang TC Regular" w:eastAsia="PingFang TC Regular" w:cs="PingFang TC Regular"/>
          <w:highlight w:val="none"/>
        </w:rPr>
        <w:t>、參與式裝置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或觀眾互動）時，必須獲得倫理審批。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關於具體流程，請諮詢你學校的倫理審核辦公室或你的導師，請</w:t>
      </w:r>
      <w:r>
        <w:rPr>
          <w:rFonts w:hint="eastAsia" w:ascii="PingFang TC Regular" w:hAnsi="PingFang TC Regular" w:eastAsia="PingFang TC Regular" w:cs="PingFang TC Regular"/>
          <w:highlight w:val="none"/>
        </w:rPr>
        <w:t>儘早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詢問</w:t>
      </w:r>
      <w:r>
        <w:rPr>
          <w:rFonts w:hint="eastAsia" w:ascii="PingFang TC Regular" w:hAnsi="PingFang TC Regular" w:eastAsia="PingFang TC Regular" w:cs="PingFang TC Regular"/>
          <w:highlight w:val="none"/>
        </w:rPr>
        <w:t>，因為審批過程可能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花費很多時間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3E418AA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3474F1F">
      <w:pPr>
        <w:keepNext w:val="0"/>
        <w:keepLines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開展有效訪談：準備開放式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半結構化問題</w:t>
      </w:r>
      <w:r>
        <w:rPr>
          <w:rStyle w:val="21"/>
          <w:rFonts w:hint="eastAsia" w:ascii="PingFang TC Regular" w:hAnsi="PingFang TC Regular" w:eastAsia="PingFang TC Regular" w:cs="PingFang TC Regular"/>
          <w:highlight w:val="none"/>
        </w:rPr>
        <w:footnoteReference w:id="5"/>
      </w:r>
      <w:r>
        <w:rPr>
          <w:rFonts w:hint="eastAsia" w:ascii="PingFang TC Regular" w:hAnsi="PingFang TC Regular" w:eastAsia="PingFang TC Regular" w:cs="PingFang TC Regular"/>
          <w:highlight w:val="none"/>
        </w:rPr>
        <w:t>，保持靈活。從建立融洽關係開始，經許可錄音，訪談時長控制在30–60分鐘。請參閱「當代藝術保護國際網路（INCCA）」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《藝術家訪談實踐指南》：  </w:t>
      </w:r>
    </w:p>
    <w:p w14:paraId="32016BC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49AF49C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10" w:hanging="240" w:hangingChars="10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英文版</w:t>
      </w:r>
      <w:r>
        <w:rPr>
          <w:rFonts w:hint="eastAsia" w:ascii="PingFang TC Regular" w:hAnsi="PingFang TC Regular" w:eastAsia="PingFang TC Regular" w:cs="PingFang TC Regular"/>
          <w:highlight w:val="none"/>
        </w:rPr>
        <w:t>PDF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下載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</w:rPr>
        <w:t>https://www.eai.org/resourceguide/collection/computer/pdf/incca.pdf</w:t>
      </w:r>
    </w:p>
    <w:p w14:paraId="07529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0718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檔案研究與場域特定研究 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：</w:t>
      </w:r>
    </w:p>
    <w:p w14:paraId="599D68E3">
      <w:pPr>
        <w:keepNext w:val="0"/>
        <w:keepLines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檔案研究：查閱原始資料（博物館藏品、歷史文獻、數字檔案）以啟發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>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為創作找到脈絡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</w:t>
      </w:r>
    </w:p>
    <w:p w14:paraId="3BF75C8A">
      <w:pPr>
        <w:keepNext w:val="0"/>
        <w:keepLines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特定場域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研</w:t>
      </w:r>
      <w:r>
        <w:rPr>
          <w:rFonts w:hint="eastAsia" w:ascii="PingFang TC Regular" w:hAnsi="PingFang TC Regular" w:eastAsia="PingFang TC Regular" w:cs="PingFang TC Regular"/>
          <w:highlight w:val="none"/>
        </w:rPr>
        <w:t>究：通過現場創作、攝影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或介入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等方式，</w:t>
      </w:r>
      <w:r>
        <w:rPr>
          <w:rFonts w:hint="eastAsia" w:ascii="PingFang TC Regular" w:hAnsi="PingFang TC Regular" w:eastAsia="PingFang TC Regular" w:cs="PingFang TC Regular"/>
          <w:highlight w:val="none"/>
        </w:rPr>
        <w:t>探索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地理或</w:t>
      </w:r>
      <w:r>
        <w:rPr>
          <w:rFonts w:hint="eastAsia" w:ascii="PingFang TC Regular" w:hAnsi="PingFang TC Regular" w:eastAsia="PingFang TC Regular" w:cs="PingFang TC Regular"/>
          <w:highlight w:val="none"/>
        </w:rPr>
        <w:t>文化地點；記錄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下特定</w:t>
      </w:r>
      <w:r>
        <w:rPr>
          <w:rFonts w:hint="eastAsia" w:ascii="PingFang TC Regular" w:hAnsi="PingFang TC Regular" w:eastAsia="PingFang TC Regular" w:cs="PingFang TC Regular"/>
          <w:highlight w:val="none"/>
        </w:rPr>
        <w:t>語境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中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地點如何塑造意義  </w:t>
      </w:r>
    </w:p>
    <w:p w14:paraId="5BBFF4F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9CBFA2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進一步</w:t>
      </w:r>
      <w:r>
        <w:rPr>
          <w:rFonts w:hint="eastAsia" w:ascii="PingFang TC Regular" w:hAnsi="PingFang TC Regular" w:eastAsia="PingFang TC Regular" w:cs="PingFang TC Regular"/>
          <w:highlight w:val="none"/>
        </w:rPr>
        <w:t>指導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詳見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：  </w:t>
      </w:r>
    </w:p>
    <w:p w14:paraId="73A5D4EA">
      <w:pPr>
        <w:keepNext w:val="0"/>
        <w:keepLines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藝術實踐型研究手冊》：</w:t>
      </w: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Patricia Leavy, </w:t>
      </w:r>
      <w:r>
        <w:rPr>
          <w:rFonts w:hint="eastAsia" w:ascii="PingFang TC Regular" w:hAnsi="PingFang TC Regular" w:eastAsia="PingFang TC Regular" w:cs="PingFang TC Regular"/>
          <w:i/>
          <w:i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Handbook of Arts-Based Research</w:t>
      </w: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(Guilford Press, 2017)  </w:t>
      </w:r>
    </w:p>
    <w:p w14:paraId="12B9C579">
      <w:pPr>
        <w:keepNext w:val="0"/>
        <w:keepLines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設計及開展實踐型研究項目》：</w:t>
      </w: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Lyle Skains, </w:t>
      </w:r>
      <w:r>
        <w:rPr>
          <w:rFonts w:hint="eastAsia" w:ascii="PingFang TC Regular" w:hAnsi="PingFang TC Regular" w:eastAsia="PingFang TC Regular" w:cs="PingFang TC Regular"/>
          <w:i/>
          <w:i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Designing and Conducting Practice-Based Research Pro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jects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 xml:space="preserve"> </w:t>
      </w:r>
      <w:r>
        <w:rPr>
          <w:rFonts w:hint="eastAsia" w:ascii="PingFang TC Regular" w:hAnsi="PingFang TC Regular" w:eastAsia="PingFang TC Regular" w:cs="PingFang TC Regular"/>
          <w:highlight w:val="none"/>
        </w:rPr>
        <w:t>(2024)</w:t>
      </w:r>
    </w:p>
    <w:p w14:paraId="1BE291D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0765C1F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1362317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 xml:space="preserve">藝術家的學術寫作  </w:t>
      </w:r>
    </w:p>
    <w:p w14:paraId="5EC85CEB">
      <w:pPr>
        <w:keepNext w:val="0"/>
        <w:keepLines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作為博士候選人，學術寫作將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實踐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時所產生</w:t>
      </w:r>
      <w:r>
        <w:rPr>
          <w:rFonts w:hint="eastAsia" w:ascii="PingFang TC Regular" w:hAnsi="PingFang TC Regular" w:eastAsia="PingFang TC Regular" w:cs="PingFang TC Regular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親身經歷的知識，</w:t>
      </w:r>
      <w:r>
        <w:rPr>
          <w:rFonts w:hint="eastAsia" w:ascii="PingFang TC Regular" w:hAnsi="PingFang TC Regular" w:eastAsia="PingFang TC Regular" w:cs="PingFang TC Regular"/>
          <w:highlight w:val="none"/>
        </w:rPr>
        <w:t>轉化為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可被交流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的學術成果。書面部分通常在20,000–40,000字之間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（</w:t>
      </w:r>
      <w:r>
        <w:rPr>
          <w:rFonts w:hint="eastAsia" w:ascii="PingFang TC Regular" w:hAnsi="PingFang TC Regular" w:eastAsia="PingFang TC Regular" w:cs="PingFang TC Regular"/>
          <w:highlight w:val="none"/>
        </w:rPr>
        <w:t>具體要求因學校而異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）</w:t>
      </w:r>
      <w:r>
        <w:rPr>
          <w:rFonts w:hint="eastAsia" w:ascii="PingFang TC Regular" w:hAnsi="PingFang TC Regular" w:eastAsia="PingFang TC Regular" w:cs="PingFang TC Regular"/>
          <w:highlight w:val="none"/>
        </w:rPr>
        <w:t>。請始終與導師確認確切的字數。</w:t>
      </w:r>
    </w:p>
    <w:p w14:paraId="1675B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633B8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尋找你的聲音：  </w:t>
      </w:r>
    </w:p>
    <w:p w14:paraId="77CF2B8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你的寫作從對項目過程的描述開始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</w:rPr>
        <w:t>材料、迭代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過程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或行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為，它們都展</w:t>
      </w:r>
      <w:r>
        <w:rPr>
          <w:rFonts w:hint="eastAsia" w:ascii="PingFang TC Regular" w:hAnsi="PingFang TC Regular" w:eastAsia="PingFang TC Regular" w:cs="PingFang TC Regular"/>
          <w:highlight w:val="none"/>
        </w:rPr>
        <w:t>示了什麼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其中</w:t>
      </w:r>
      <w:r>
        <w:rPr>
          <w:rFonts w:hint="eastAsia" w:ascii="PingFang TC Regular" w:hAnsi="PingFang TC Regular" w:eastAsia="PingFang TC Regular" w:cs="PingFang TC Regular"/>
          <w:highlight w:val="none"/>
        </w:rPr>
        <w:t>哪些令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驚訝或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仍</w:t>
      </w:r>
      <w:r>
        <w:rPr>
          <w:rFonts w:hint="eastAsia" w:ascii="PingFang TC Regular" w:hAnsi="PingFang TC Regular" w:eastAsia="PingFang TC Regular" w:cs="PingFang TC Regular"/>
          <w:highlight w:val="none"/>
        </w:rPr>
        <w:t>未解決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這樣寫能令你的寫作忠於內心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可</w:t>
      </w:r>
      <w:r>
        <w:rPr>
          <w:rFonts w:hint="eastAsia" w:ascii="PingFang TC Regular" w:hAnsi="PingFang TC Regular" w:eastAsia="PingFang TC Regular" w:cs="PingFang TC Regular"/>
          <w:highlight w:val="none"/>
        </w:rPr>
        <w:t>適當使用第一人稱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的表述</w:t>
      </w:r>
      <w:r>
        <w:rPr>
          <w:rFonts w:hint="eastAsia" w:ascii="PingFang TC Regular" w:hAnsi="PingFang TC Regular" w:eastAsia="PingFang TC Regular" w:cs="PingFang TC Regular"/>
          <w:highlight w:val="none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但記得不要忘了有客觀的、分析性的描述</w:t>
      </w:r>
      <w:r>
        <w:rPr>
          <w:rFonts w:hint="eastAsia" w:ascii="PingFang TC Regular" w:hAnsi="PingFang TC Regular" w:eastAsia="PingFang TC Regular" w:cs="PingFang TC Regular"/>
          <w:highlight w:val="none"/>
        </w:rPr>
        <w:t>。從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原始研究日誌開始，然後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將其</w:t>
      </w:r>
      <w:r>
        <w:rPr>
          <w:rFonts w:hint="eastAsia" w:ascii="PingFang TC Regular" w:hAnsi="PingFang TC Regular" w:eastAsia="PingFang TC Regular" w:cs="PingFang TC Regular"/>
          <w:highlight w:val="none"/>
        </w:rPr>
        <w:t>精煉以求精確。</w:t>
      </w:r>
    </w:p>
    <w:p w14:paraId="1B70408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ACCC3D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結構化方法如乔丹·彼得森的《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论文写作指南</w:t>
      </w:r>
      <w:r>
        <w:rPr>
          <w:rFonts w:hint="eastAsia" w:ascii="PingFang TC Regular" w:hAnsi="PingFang TC Regular" w:eastAsia="PingFang TC Regular" w:cs="PingFang TC Regular"/>
          <w:highlight w:val="none"/>
        </w:rPr>
        <w:t>》（2014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年</w:t>
      </w:r>
      <w:r>
        <w:rPr>
          <w:rFonts w:hint="eastAsia" w:ascii="PingFang TC Regular" w:hAnsi="PingFang TC Regular" w:eastAsia="PingFang TC Regular" w:cs="PingFang TC Regular"/>
          <w:highlight w:val="none"/>
        </w:rPr>
        <w:t>）</w:t>
      </w:r>
      <w:r>
        <w:rPr>
          <w:rStyle w:val="21"/>
          <w:rFonts w:hint="eastAsia" w:ascii="PingFang TC Regular" w:hAnsi="PingFang TC Regular" w:eastAsia="PingFang TC Regular" w:cs="PingFang TC Regular"/>
          <w:highlight w:val="none"/>
        </w:rPr>
        <w:footnoteReference w:id="6"/>
      </w:r>
      <w:r>
        <w:rPr>
          <w:rFonts w:hint="eastAsia" w:ascii="PingFang TC Regular" w:hAnsi="PingFang TC Regular" w:eastAsia="PingFang TC Regular" w:cs="PingFang TC Regular"/>
          <w:highlight w:val="none"/>
        </w:rPr>
        <w:t>非常有用：先列大綱（10–15句捕捉核心想法），粗略起草，然後逐句編輯以求清晰。閱讀來自成熟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實踐型博士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項目</w:t>
      </w:r>
      <w:r>
        <w:rPr>
          <w:rFonts w:hint="eastAsia" w:ascii="PingFang TC Regular" w:hAnsi="PingFang TC Regular" w:eastAsia="PingFang TC Regular" w:cs="PingFang TC Regular"/>
          <w:highlight w:val="none"/>
        </w:rPr>
        <w:t>範例（例如《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艺术研究期刊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（</w:t>
      </w:r>
      <w:r>
        <w:rPr>
          <w:rFonts w:hint="eastAsia" w:ascii="PingFang TC Regular" w:hAnsi="PingFang TC Regular" w:eastAsia="PingFang TC Regular" w:cs="PingFang TC Regular"/>
          <w:highlight w:val="none"/>
        </w:rPr>
        <w:t>JAR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）</w:t>
      </w:r>
      <w:r>
        <w:rPr>
          <w:rFonts w:hint="eastAsia" w:ascii="PingFang TC Regular" w:hAnsi="PingFang TC Regular" w:eastAsia="PingFang TC Regular" w:cs="PingFang TC Regular"/>
          <w:highlight w:val="none"/>
        </w:rPr>
        <w:t>》</w:t>
      </w:r>
      <w:r>
        <w:rPr>
          <w:rStyle w:val="21"/>
          <w:rFonts w:hint="eastAsia" w:ascii="PingFang TC Regular" w:hAnsi="PingFang TC Regular" w:eastAsia="PingFang TC Regular" w:cs="PingFang TC Regular"/>
          <w:highlight w:val="none"/>
        </w:rPr>
        <w:footnoteReference w:id="7"/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上的</w:t>
      </w:r>
      <w:r>
        <w:rPr>
          <w:rFonts w:hint="eastAsia" w:ascii="PingFang TC Regular" w:hAnsi="PingFang TC Regular" w:eastAsia="PingFang TC Regular" w:cs="PingFang TC Regular"/>
          <w:highlight w:val="none"/>
        </w:rPr>
        <w:t>論文），以瞭解研究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型</w:t>
      </w:r>
      <w:r>
        <w:rPr>
          <w:rFonts w:hint="eastAsia" w:ascii="PingFang TC Regular" w:hAnsi="PingFang TC Regular" w:eastAsia="PingFang TC Regular" w:cs="PingFang TC Regular"/>
          <w:highlight w:val="none"/>
        </w:rPr>
        <w:t>藝術家如何平衡個人聲音與學術嚴謹性。</w:t>
      </w:r>
    </w:p>
    <w:p w14:paraId="2DAA055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B6D9E0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如果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希望嘗試非傳統形式（詩歌、戲劇對話、創造性非虛構）以反映實踐的本質，請先與導師充分討論。務必包含清晰的方法論理由，確保考官理解其意圖和學術貢獻。</w:t>
      </w:r>
    </w:p>
    <w:p w14:paraId="5E45B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6C55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論文章節結構：</w:t>
      </w:r>
    </w:p>
    <w:p w14:paraId="330E30E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章節的組織通常遵循你創作實踐的邏輯，而非嚴格的線性敘事：過程 → 反思 → 理論 → 啟示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/結論</w:t>
      </w:r>
      <w:r>
        <w:rPr>
          <w:rFonts w:hint="eastAsia" w:ascii="PingFang TC Regular" w:hAnsi="PingFang TC Regular" w:eastAsia="PingFang TC Regular" w:cs="PingFang TC Regular"/>
          <w:highlight w:val="none"/>
        </w:rPr>
        <w:t>。採用喬丹·彼得森的迭代法：擬定大綱、撰寫初稿、編輯句子、重構段落順序。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論文</w:t>
      </w:r>
      <w:r>
        <w:rPr>
          <w:rFonts w:hint="eastAsia" w:ascii="PingFang TC Regular" w:hAnsi="PingFang TC Regular" w:eastAsia="PingFang TC Regular" w:cs="PingFang TC Regular"/>
          <w:highlight w:val="none"/>
        </w:rPr>
        <w:t>典型結構包括：</w:t>
      </w:r>
    </w:p>
    <w:p w14:paraId="7229271B">
      <w:pPr>
        <w:keepNext w:val="0"/>
        <w:keepLines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引言： 關聯研究問題，預告研究貢獻</w:t>
      </w:r>
    </w:p>
    <w:p w14:paraId="2F59CB55">
      <w:pPr>
        <w:keepNext w:val="0"/>
        <w:keepLines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正文： 描述創作實踐（提供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實例</w:t>
      </w:r>
      <w:r>
        <w:rPr>
          <w:rFonts w:hint="eastAsia" w:ascii="PingFang TC Regular" w:hAnsi="PingFang TC Regular" w:eastAsia="PingFang TC Regular" w:cs="PingFang TC Regular"/>
          <w:highlight w:val="none"/>
        </w:rPr>
        <w:t>證據），分析發現，引入理論</w:t>
      </w:r>
    </w:p>
    <w:p w14:paraId="51204300">
      <w:pPr>
        <w:keepNext w:val="0"/>
        <w:keepLines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結論： 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整合各種洞見</w:t>
      </w:r>
      <w:r>
        <w:rPr>
          <w:rFonts w:hint="eastAsia" w:ascii="PingFang TC Regular" w:hAnsi="PingFang TC Regular" w:eastAsia="PingFang TC Regular" w:cs="PingFang TC Regular"/>
          <w:highlight w:val="none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展望未來進一步發展</w:t>
      </w:r>
    </w:p>
    <w:p w14:paraId="4138C5A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B80513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在每一稿完成後進行反向檢查：列出每個段落的核心主張。如果該段落未能推進論點，請進行修改或刪除。</w:t>
      </w:r>
    </w:p>
    <w:p w14:paraId="2CA4D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7DE6F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視覺資料整合：</w:t>
      </w:r>
    </w:p>
    <w:p w14:paraId="6C7F321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視覺資料是證據和論點，而非裝飾。在能直接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支持你論點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的地方，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放</w:t>
      </w:r>
      <w:r>
        <w:rPr>
          <w:rFonts w:hint="eastAsia" w:ascii="PingFang TC Regular" w:hAnsi="PingFang TC Regular" w:eastAsia="PingFang TC Regular" w:cs="PingFang TC Regular"/>
          <w:highlight w:val="none"/>
        </w:rPr>
        <w:t>入高質量圖像（過程照、最終成品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照</w:t>
      </w:r>
      <w:r>
        <w:rPr>
          <w:rFonts w:hint="eastAsia" w:ascii="PingFang TC Regular" w:hAnsi="PingFang TC Regular" w:eastAsia="PingFang TC Regular" w:cs="PingFang TC Regular"/>
          <w:highlight w:val="none"/>
        </w:rPr>
        <w:t>）。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圖片下方應配有標籤，標籤應該包括編號和對圖片的描述，如：</w:t>
      </w:r>
      <w:r>
        <w:rPr>
          <w:rFonts w:hint="eastAsia" w:ascii="PingFang TC Regular" w:hAnsi="PingFang TC Regular" w:eastAsia="PingFang TC Regular" w:cs="PingFang TC Regular"/>
          <w:highlight w:val="none"/>
        </w:rPr>
        <w:t>「圖 4：源自 AI 生成系列的雕塑，2025年；樹脂與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3D打印零件</w:t>
      </w:r>
      <w:r>
        <w:rPr>
          <w:rFonts w:hint="eastAsia" w:ascii="PingFang TC Regular" w:hAnsi="PingFang TC Regular" w:eastAsia="PingFang TC Regular" w:cs="PingFang TC Regular"/>
          <w:highlight w:val="none"/>
        </w:rPr>
        <w:t>」）。在正文中引用它們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時，可使用其圖片編號表示，</w:t>
      </w:r>
      <w:r>
        <w:rPr>
          <w:rFonts w:hint="eastAsia" w:ascii="PingFang TC Regular" w:hAnsi="PingFang TC Regular" w:eastAsia="PingFang TC Regular" w:cs="PingFang TC Regular"/>
          <w:highlight w:val="none"/>
        </w:rPr>
        <w:t>如：「如圖 4 所示……」。</w:t>
      </w:r>
    </w:p>
    <w:p w14:paraId="2A136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B247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通過寫作構建批判性反思：  </w:t>
      </w:r>
    </w:p>
    <w:p w14:paraId="3EBDD3A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一個有用的準備工具（雖然並非正式要求）是起草一篇較短的批判反思性文章（通常5,000–10,000字）。這篇獨立的文章敘述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實踐中的發現：描述關鍵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實踐</w:t>
      </w:r>
      <w:r>
        <w:rPr>
          <w:rFonts w:hint="eastAsia" w:ascii="PingFang TC Regular" w:hAnsi="PingFang TC Regular" w:eastAsia="PingFang TC Regular" w:cs="PingFang TC Regular"/>
          <w:highlight w:val="none"/>
        </w:rPr>
        <w:t>時刻、引用相關理論，並批判性地反思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的創作如何挑戰或擴展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現有管觀念</w:t>
      </w:r>
      <w:r>
        <w:rPr>
          <w:rFonts w:hint="eastAsia" w:ascii="PingFang TC Regular" w:hAnsi="PingFang TC Regular" w:eastAsia="PingFang TC Regular" w:cs="PingFang TC Regular"/>
          <w:highlight w:val="none"/>
        </w:rPr>
        <w:t>。使用第一人稱以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反映真實性</w:t>
      </w:r>
      <w:r>
        <w:rPr>
          <w:rFonts w:hint="eastAsia" w:ascii="PingFang TC Regular" w:hAnsi="PingFang TC Regular" w:eastAsia="PingFang TC Regular" w:cs="PingFang TC Regular"/>
          <w:highlight w:val="none"/>
        </w:rPr>
        <w:t>，同時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兼</w:t>
      </w:r>
      <w:r>
        <w:rPr>
          <w:rFonts w:hint="eastAsia" w:ascii="PingFang TC Regular" w:hAnsi="PingFang TC Regular" w:eastAsia="PingFang TC Regular" w:cs="PingFang TC Regular"/>
          <w:highlight w:val="none"/>
        </w:rPr>
        <w:t>以分析性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的論證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034DC8A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16A3E4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一個</w:t>
      </w:r>
      <w:r>
        <w:rPr>
          <w:rFonts w:hint="eastAsia" w:ascii="PingFang TC Regular" w:hAnsi="PingFang TC Regular" w:eastAsia="PingFang TC Regular" w:cs="PingFang TC Regular"/>
          <w:highlight w:val="none"/>
        </w:rPr>
        <w:t>有力策略：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反向寫作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</w:t>
      </w:r>
    </w:p>
    <w:p w14:paraId="332578F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許多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博士</w:t>
      </w:r>
      <w:r>
        <w:rPr>
          <w:rFonts w:hint="eastAsia" w:ascii="PingFang TC Regular" w:hAnsi="PingFang TC Regular" w:eastAsia="PingFang TC Regular" w:cs="PingFang TC Regular"/>
          <w:highlight w:val="none"/>
        </w:rPr>
        <w:t>候選人會在創作的後期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即最終展覽和主要作品完成後，才著手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寫論文的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引言、結論以及大部分批判性反思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部分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因為</w:t>
      </w:r>
      <w:r>
        <w:rPr>
          <w:rFonts w:hint="eastAsia" w:ascii="PingFang TC Regular" w:hAnsi="PingFang TC Regular" w:eastAsia="PingFang TC Regular" w:cs="PingFang TC Regular"/>
          <w:highlight w:val="none"/>
        </w:rPr>
        <w:t>只有到了那個階段，你才能完全理解自己究竟達成了什麼。利用這種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事後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諸葛亮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  <w:lang w:val="en-US" w:eastAsia="zh-CN"/>
        </w:rPr>
        <w:t>的方式，</w:t>
      </w:r>
      <w:r>
        <w:rPr>
          <w:rFonts w:hint="eastAsia" w:ascii="PingFang TC Regular" w:hAnsi="PingFang TC Regular" w:eastAsia="PingFang TC Regular" w:cs="PingFang TC Regular"/>
          <w:highlight w:val="none"/>
        </w:rPr>
        <w:t>來磨煉和深化整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篇論文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7B3853F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AD8064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進一步資料請見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：  </w:t>
      </w:r>
    </w:p>
    <w:p w14:paraId="2D15F5AF">
      <w:pPr>
        <w:keepNext w:val="0"/>
        <w:keepLines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藝術實踐型研究》：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Shaun McNiff, 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Art-Based Research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 xml:space="preserve"> 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(1998)  </w:t>
      </w:r>
    </w:p>
    <w:p w14:paraId="43152876">
      <w:pPr>
        <w:keepNext w:val="0"/>
        <w:keepLines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有博士學位的藝術家》：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James Elkins, 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Artists with PhDs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(2014)  </w:t>
      </w:r>
    </w:p>
    <w:p w14:paraId="68B5301B">
      <w:pPr>
        <w:keepNext w:val="0"/>
        <w:keepLines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《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通過藝術思考》：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Katy Macleod &amp; Lin Holdridge, 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Thinking Through Art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(2006)  </w:t>
      </w:r>
    </w:p>
    <w:p w14:paraId="41BAB0FA">
      <w:pPr>
        <w:keepNext w:val="0"/>
        <w:keepLines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《論文寫作指南》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</w:rPr>
        <w:t>Jordan B. Peterson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 xml:space="preserve">, </w:t>
      </w:r>
      <w:r>
        <w:rPr>
          <w:rFonts w:hint="eastAsia" w:ascii="PingFang TC Regular" w:hAnsi="PingFang TC Regular" w:eastAsia="PingFang TC Regular" w:cs="PingFang TC Regular"/>
          <w:i/>
          <w:iCs/>
          <w:highlight w:val="none"/>
        </w:rPr>
        <w:t>Essay Writing Guide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(2014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)</w:t>
      </w:r>
    </w:p>
    <w:p w14:paraId="50CD7CD3">
      <w:pPr>
        <w:keepNext w:val="0"/>
        <w:keepLines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PingFang TC Regular" w:hAnsi="PingFang TC Regular" w:eastAsia="PingFang TC Regular" w:cs="PingFang TC Regular"/>
          <w:sz w:val="20"/>
          <w:szCs w:val="20"/>
          <w:highlight w:val="none"/>
          <w:lang w:val="en-US" w:eastAsia="zh-CN"/>
        </w:rPr>
      </w:pPr>
    </w:p>
    <w:p w14:paraId="1D8875D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最好</w:t>
      </w:r>
      <w:r>
        <w:rPr>
          <w:rFonts w:hint="eastAsia" w:ascii="PingFang TC Regular" w:hAnsi="PingFang TC Regular" w:eastAsia="PingFang TC Regular" w:cs="PingFang TC Regular"/>
          <w:highlight w:val="none"/>
        </w:rPr>
        <w:t>定期寫作（每天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約寫</w:t>
      </w:r>
      <w:r>
        <w:rPr>
          <w:rFonts w:hint="eastAsia" w:ascii="PingFang TC Regular" w:hAnsi="PingFang TC Regular" w:eastAsia="PingFang TC Regular" w:cs="PingFang TC Regular"/>
          <w:highlight w:val="none"/>
        </w:rPr>
        <w:t>300字），儘早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給</w:t>
      </w:r>
      <w:r>
        <w:rPr>
          <w:rFonts w:hint="eastAsia" w:ascii="PingFang TC Regular" w:hAnsi="PingFang TC Regular" w:eastAsia="PingFang TC Regular" w:cs="PingFang TC Regular"/>
          <w:highlight w:val="none"/>
        </w:rPr>
        <w:t>導師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看你的</w:t>
      </w:r>
      <w:r>
        <w:rPr>
          <w:rFonts w:hint="eastAsia" w:ascii="PingFang TC Regular" w:hAnsi="PingFang TC Regular" w:eastAsia="PingFang TC Regular" w:cs="PingFang TC Regular"/>
          <w:highlight w:val="none"/>
        </w:rPr>
        <w:t>草稿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並</w:t>
      </w:r>
      <w:r>
        <w:rPr>
          <w:rFonts w:hint="eastAsia" w:ascii="PingFang TC Regular" w:hAnsi="PingFang TC Regular" w:eastAsia="PingFang TC Regular" w:cs="PingFang TC Regular"/>
          <w:highlight w:val="none"/>
        </w:rPr>
        <w:t>修改。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論文中逐漸顯現的</w:t>
      </w:r>
      <w:r>
        <w:rPr>
          <w:rFonts w:hint="eastAsia" w:ascii="PingFang TC Regular" w:hAnsi="PingFang TC Regular" w:eastAsia="PingFang TC Regular" w:cs="PingFang TC Regular"/>
          <w:highlight w:val="none"/>
        </w:rPr>
        <w:t>清晰度，不僅將強化你的論文邏輯，也將為你未來作為思想者與創作者的道路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奠定更堅實的基礎。</w:t>
      </w:r>
    </w:p>
    <w:p w14:paraId="504C1F7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B07AFD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186EBEE">
      <w:pPr>
        <w:keepNext w:val="0"/>
        <w:keepLines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 xml:space="preserve">有效且道德地使用AI  </w:t>
      </w:r>
    </w:p>
    <w:p w14:paraId="0800D74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AI工具（例如ChatGPT、Grok、DeepSeek）可以支持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你的研究</w:t>
      </w:r>
      <w:r>
        <w:rPr>
          <w:rFonts w:hint="eastAsia" w:ascii="PingFang TC Regular" w:hAnsi="PingFang TC Regular" w:eastAsia="PingFang TC Regular" w:cs="PingFang TC Regular"/>
          <w:highlight w:val="none"/>
        </w:rPr>
        <w:t>，但絕不能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讓它們</w:t>
      </w:r>
      <w:r>
        <w:rPr>
          <w:rFonts w:hint="eastAsia" w:ascii="PingFang TC Regular" w:hAnsi="PingFang TC Regular" w:eastAsia="PingFang TC Regular" w:cs="PingFang TC Regular"/>
          <w:highlight w:val="none"/>
        </w:rPr>
        <w:t>取代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判斷</w:t>
      </w:r>
      <w:r>
        <w:rPr>
          <w:rFonts w:hint="eastAsia" w:ascii="PingFang TC Regular" w:hAnsi="PingFang TC Regular" w:eastAsia="PingFang TC Regular" w:cs="PingFang TC Regular"/>
          <w:highlight w:val="none"/>
        </w:rPr>
        <w:t>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創意</w:t>
      </w:r>
      <w:r>
        <w:rPr>
          <w:rFonts w:hint="eastAsia" w:ascii="PingFang TC Regular" w:hAnsi="PingFang TC Regular" w:eastAsia="PingFang TC Regular" w:cs="PingFang TC Regular"/>
          <w:highlight w:val="none"/>
        </w:rPr>
        <w:t>勞動。請將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AI</w:t>
      </w:r>
      <w:r>
        <w:rPr>
          <w:rFonts w:hint="eastAsia" w:ascii="PingFang TC Regular" w:hAnsi="PingFang TC Regular" w:eastAsia="PingFang TC Regular" w:cs="PingFang TC Regular"/>
          <w:highlight w:val="none"/>
        </w:rPr>
        <w:t>用於提升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你的創作</w:t>
      </w:r>
      <w:r>
        <w:rPr>
          <w:rFonts w:hint="eastAsia" w:ascii="PingFang TC Regular" w:hAnsi="PingFang TC Regular" w:eastAsia="PingFang TC Regular" w:cs="PingFang TC Regular"/>
          <w:highlight w:val="none"/>
        </w:rPr>
        <w:t>過程，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同時堅持你的真誠和持續學習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6C5BA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D4FD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可接受的AI使用：  </w:t>
      </w:r>
    </w:p>
    <w:p w14:paraId="788649F1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幫助你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發現論點中的弱點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論文前後矛盾的地方</w:t>
      </w:r>
    </w:p>
    <w:p w14:paraId="3F3E9F73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幫助你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頭腦風暴（備選標題、概念聯繫）  </w:t>
      </w:r>
    </w:p>
    <w:p w14:paraId="29BE4F95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幫助你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校對語法、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表達的</w:t>
      </w:r>
      <w:r>
        <w:rPr>
          <w:rFonts w:hint="eastAsia" w:ascii="PingFang TC Regular" w:hAnsi="PingFang TC Regular" w:eastAsia="PingFang TC Regular" w:cs="PingFang TC Regular"/>
          <w:highlight w:val="none"/>
        </w:rPr>
        <w:t>清晰度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和</w:t>
      </w:r>
      <w:r>
        <w:rPr>
          <w:rFonts w:hint="eastAsia" w:ascii="PingFang TC Regular" w:hAnsi="PingFang TC Regular" w:eastAsia="PingFang TC Regular" w:cs="PingFang TC Regular"/>
          <w:highlight w:val="none"/>
        </w:rPr>
        <w:t>流暢性（隨後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還需你</w:t>
      </w:r>
      <w:r>
        <w:rPr>
          <w:rFonts w:hint="eastAsia" w:ascii="PingFang TC Regular" w:hAnsi="PingFang TC Regular" w:eastAsia="PingFang TC Regular" w:cs="PingFang TC Regular"/>
          <w:highlight w:val="none"/>
        </w:rPr>
        <w:t>親自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校對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）  </w:t>
      </w:r>
    </w:p>
    <w:p w14:paraId="53423B8D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幫助你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簡單翻譯短段落（隨後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還需你</w:t>
      </w:r>
      <w:r>
        <w:rPr>
          <w:rFonts w:hint="eastAsia" w:ascii="PingFang TC Regular" w:hAnsi="PingFang TC Regular" w:eastAsia="PingFang TC Regular" w:cs="PingFang TC Regular"/>
          <w:highlight w:val="none"/>
        </w:rPr>
        <w:t>親自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校對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）    </w:t>
      </w:r>
    </w:p>
    <w:p w14:paraId="1D0C2A77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幫助你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總結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大量的</w:t>
      </w:r>
      <w:r>
        <w:rPr>
          <w:rFonts w:hint="eastAsia" w:ascii="PingFang TC Regular" w:hAnsi="PingFang TC Regular" w:eastAsia="PingFang TC Regular" w:cs="PingFang TC Regular"/>
          <w:highlight w:val="none"/>
        </w:rPr>
        <w:t>二手文獻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以助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更好地理解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它們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</w:t>
      </w:r>
    </w:p>
    <w:p w14:paraId="40E954AD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幫助你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生成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論文</w:t>
      </w:r>
      <w:r>
        <w:rPr>
          <w:rFonts w:hint="eastAsia" w:ascii="PingFang TC Regular" w:hAnsi="PingFang TC Regular" w:eastAsia="PingFang TC Regular" w:cs="PingFang TC Regular"/>
          <w:highlight w:val="none"/>
        </w:rPr>
        <w:t>初始大綱，隨後由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完全重寫</w:t>
      </w:r>
    </w:p>
    <w:p w14:paraId="249C8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5E61B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不可接受的AI使用：  </w:t>
      </w:r>
    </w:p>
    <w:p w14:paraId="3A159C2A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使用AI撰寫論文章節、批判性文章、文獻綜述、方法論論證、圖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片注释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或藝術家聲明  </w:t>
      </w:r>
    </w:p>
    <w:p w14:paraId="600073FA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將AI生成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文本作為自己成果提交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并隐瞒AI写作的事实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</w:t>
      </w:r>
    </w:p>
    <w:p w14:paraId="065AA0A8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使用AI偽造參考文獻、引文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或記錄</w:t>
      </w:r>
    </w:p>
    <w:p w14:paraId="107D5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3F7C8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關於過度依賴AI的重要發現：  </w:t>
      </w:r>
    </w:p>
    <w:p w14:paraId="09DCD36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麻省理工學院媒體實驗室（MIT Media Lab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）</w:t>
      </w:r>
      <w:r>
        <w:rPr>
          <w:rFonts w:hint="eastAsia" w:ascii="PingFang TC Regular" w:hAnsi="PingFang TC Regular" w:eastAsia="PingFang TC Regular" w:cs="PingFang TC Regular"/>
          <w:highlight w:val="none"/>
        </w:rPr>
        <w:t>2025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年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的研究顯示，過度依賴AI寫作會導致：  </w:t>
      </w:r>
    </w:p>
    <w:p w14:paraId="674143D0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83%的受試者在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寫作</w:t>
      </w:r>
      <w:r>
        <w:rPr>
          <w:rFonts w:hint="eastAsia" w:ascii="PingFang TC Regular" w:hAnsi="PingFang TC Regular" w:eastAsia="PingFang TC Regular" w:cs="PingFang TC Regular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highlight w:val="none"/>
        </w:rPr>
        <w:t>後幾分鐘內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無法回憶起任何一個句子  </w:t>
      </w:r>
    </w:p>
    <w:p w14:paraId="7742B5B4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受試者批判性思維下降，大腦參與度降低  </w:t>
      </w:r>
    </w:p>
    <w:p w14:paraId="74B5B916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受試者最弱的神經連接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甚至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無法形成新的神經網路  </w:t>
      </w:r>
    </w:p>
    <w:p w14:paraId="1932C24C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與非AI受試組相比，受試者記憶能力下降80-90%</w:t>
      </w:r>
    </w:p>
    <w:p w14:paraId="647B830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E47810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換言之：使用AI撰寫論文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幾乎不會產生任何學習和回憶。</w:t>
      </w:r>
    </w:p>
    <w:p w14:paraId="41A6D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6903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大學关于AI使用的政策：  </w:t>
      </w:r>
    </w:p>
    <w:p w14:paraId="39FF725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許多大學現已針對生成式AI工具（例如ChatGPT、Claude、Midjourney等）在博士研究和論文寫作中的使用制定了具體政策。  </w:t>
      </w:r>
    </w:p>
    <w:p w14:paraId="64E2276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30134B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請</w:t>
      </w:r>
      <w:r>
        <w:rPr>
          <w:rFonts w:hint="eastAsia" w:ascii="PingFang TC Regular" w:hAnsi="PingFang TC Regular" w:eastAsia="PingFang TC Regular" w:cs="PingFang TC Regular"/>
          <w:highlight w:val="none"/>
        </w:rPr>
        <w:t>務必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注意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：  </w:t>
      </w:r>
    </w:p>
    <w:p w14:paraId="1637E981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熟悉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所在機構</w:t>
      </w:r>
      <w:r>
        <w:rPr>
          <w:rFonts w:hint="eastAsia" w:ascii="PingFang TC Regular" w:hAnsi="PingFang TC Regular" w:eastAsia="PingFang TC Regular" w:cs="PingFang TC Regular"/>
          <w:highlight w:val="none"/>
          <w:lang w:eastAsia="zh-TW"/>
        </w:rPr>
        <w:t>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TW"/>
        </w:rPr>
        <w:t>大學/院系）</w:t>
      </w:r>
      <w:r>
        <w:rPr>
          <w:rFonts w:hint="eastAsia" w:ascii="PingFang TC Regular" w:hAnsi="PingFang TC Regular" w:eastAsia="PingFang TC Regular" w:cs="PingFang TC Regular"/>
          <w:highlight w:val="none"/>
        </w:rPr>
        <w:t>關於AI使用的最新指南</w:t>
      </w:r>
    </w:p>
    <w:p w14:paraId="49D8771F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你需要</w:t>
      </w:r>
      <w:r>
        <w:rPr>
          <w:rFonts w:hint="eastAsia" w:ascii="PingFang TC Regular" w:hAnsi="PingFang TC Regular" w:eastAsia="PingFang TC Regular" w:cs="PingFang TC Regular"/>
          <w:highlight w:val="none"/>
        </w:rPr>
        <w:t>聲明任何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在你</w:t>
      </w:r>
      <w:r>
        <w:rPr>
          <w:rFonts w:hint="eastAsia" w:ascii="PingFang TC Regular" w:hAnsi="PingFang TC Regular" w:eastAsia="PingFang TC Regular" w:cs="PingFang TC Regular"/>
          <w:highlight w:val="none"/>
        </w:rPr>
        <w:t>論文或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其附帶檔</w:t>
      </w:r>
      <w:r>
        <w:rPr>
          <w:rFonts w:hint="eastAsia" w:ascii="PingFang TC Regular" w:hAnsi="PingFang TC Regular" w:eastAsia="PingFang TC Regular" w:cs="PingFang TC Regular"/>
          <w:highlight w:val="none"/>
        </w:rPr>
        <w:t>中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生成式AI使用，明確說明所用工具、目的及具體貢獻</w:t>
      </w:r>
    </w:p>
    <w:p w14:paraId="070A3F9D">
      <w:pPr>
        <w:keepNext w:val="0"/>
        <w:keepLines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請確保所有 AI 輔助生成的內容均已得到妥善引用，並明確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你會對</w:t>
      </w:r>
      <w:r>
        <w:rPr>
          <w:rFonts w:hint="eastAsia" w:ascii="PingFang TC Regular" w:hAnsi="PingFang TC Regular" w:eastAsia="PingFang TC Regular" w:cs="PingFang TC Regular"/>
          <w:highlight w:val="none"/>
        </w:rPr>
        <w:t>最終作品承擔全部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智力上</w:t>
      </w:r>
      <w:r>
        <w:rPr>
          <w:rFonts w:hint="eastAsia" w:ascii="PingFang TC Regular" w:hAnsi="PingFang TC Regular" w:eastAsia="PingFang TC Regular" w:cs="PingFang TC Regular"/>
          <w:highlight w:val="none"/>
        </w:rPr>
        <w:t>與創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意上的</w:t>
      </w:r>
      <w:r>
        <w:rPr>
          <w:rFonts w:hint="eastAsia" w:ascii="PingFang TC Regular" w:hAnsi="PingFang TC Regular" w:eastAsia="PingFang TC Regular" w:cs="PingFang TC Regular"/>
          <w:highlight w:val="none"/>
        </w:rPr>
        <w:t>責任</w:t>
      </w:r>
    </w:p>
    <w:p w14:paraId="1208A45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2984FF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該領域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的</w:t>
      </w:r>
      <w:r>
        <w:rPr>
          <w:rFonts w:hint="eastAsia" w:ascii="PingFang TC Regular" w:hAnsi="PingFang TC Regular" w:eastAsia="PingFang TC Regular" w:cs="PingFang TC Regular"/>
          <w:highlight w:val="none"/>
        </w:rPr>
        <w:t>政策正在迅速演變，因此在提交任何重要書面成果前，請查閱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你大學</w:t>
      </w:r>
      <w:r>
        <w:rPr>
          <w:rFonts w:hint="eastAsia" w:ascii="PingFang TC Regular" w:hAnsi="PingFang TC Regular" w:eastAsia="PingFang TC Regular" w:cs="PingFang TC Regular"/>
          <w:highlight w:val="none"/>
        </w:rPr>
        <w:t>的最新規定。</w:t>
      </w:r>
    </w:p>
    <w:p w14:paraId="651C8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5D884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重要提醒：  </w:t>
      </w:r>
    </w:p>
    <w:p w14:paraId="45EE507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無論機構規則如何，學術誠信始終是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的責任。生成式AI應支持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的思考和工作流程，而絕不能取代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的批判性反思、藝術決策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或原創貢獻。導師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或將</w:t>
      </w:r>
      <w:r>
        <w:rPr>
          <w:rFonts w:hint="eastAsia" w:ascii="PingFang TC Regular" w:hAnsi="PingFang TC Regular" w:eastAsia="PingFang TC Regular" w:cs="PingFang TC Regular"/>
          <w:highlight w:val="none"/>
        </w:rPr>
        <w:t>發現不可接受的AI使用（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普遍化的</w:t>
      </w:r>
      <w:r>
        <w:rPr>
          <w:rFonts w:hint="eastAsia" w:ascii="PingFang TC Regular" w:hAnsi="PingFang TC Regular" w:eastAsia="PingFang TC Regular" w:cs="PingFang TC Regular"/>
          <w:highlight w:val="none"/>
        </w:rPr>
        <w:t>表述、缺乏個人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口吻</w:t>
      </w:r>
      <w:r>
        <w:rPr>
          <w:rFonts w:hint="eastAsia" w:ascii="PingFang TC Regular" w:hAnsi="PingFang TC Regular" w:eastAsia="PingFang TC Regular" w:cs="PingFang TC Regular"/>
          <w:highlight w:val="none"/>
        </w:rPr>
        <w:t>、深度不一致、語氣突變）。請儘早與導師討論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的AI計畫，以符合政策並降低紀律處分風險。</w:t>
      </w:r>
    </w:p>
    <w:p w14:paraId="489BBBA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3FB2281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1E1459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 xml:space="preserve">引用來源  </w:t>
      </w:r>
    </w:p>
    <w:p w14:paraId="5E3794F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考官在評估初期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</w:rPr>
        <w:t>經常先審查參考文獻和書目。一份強有力、精心整理的列表表明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已覆蓋相關領域並展示了學術廣度，而薄弱的引用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則會</w:t>
      </w:r>
      <w:r>
        <w:rPr>
          <w:rFonts w:hint="eastAsia" w:ascii="PingFang TC Regular" w:hAnsi="PingFang TC Regular" w:eastAsia="PingFang TC Regular" w:cs="PingFang TC Regular"/>
          <w:highlight w:val="none"/>
        </w:rPr>
        <w:t>削弱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了論文的</w:t>
      </w:r>
      <w:r>
        <w:rPr>
          <w:rFonts w:hint="eastAsia" w:ascii="PingFang TC Regular" w:hAnsi="PingFang TC Regular" w:eastAsia="PingFang TC Regular" w:cs="PingFang TC Regular"/>
          <w:highlight w:val="none"/>
        </w:rPr>
        <w:t>可信度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甚至在文章還未被讀前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4FC7D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6604E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「Bibliography」与「References」的区别 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vertAlign w:val="superscript"/>
          <w:lang w:val="en-US" w:eastAsia="zh-CN" w:bidi="ar"/>
          <w14:ligatures w14:val="standardContextual"/>
        </w:rPr>
        <w:footnoteReference w:id="8"/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 xml:space="preserve">：  </w:t>
      </w:r>
    </w:p>
    <w:p w14:paraId="21F55F5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b w:val="0"/>
          <w:bCs w:val="0"/>
          <w:color w:val="auto"/>
          <w:highlight w:val="none"/>
          <w:lang w:val="en-US" w:eastAsia="zh-CN"/>
        </w:rPr>
        <w:t>通常在英文版的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藝術博士</w:t>
      </w:r>
      <w:r>
        <w:rPr>
          <w:rFonts w:hint="eastAsia" w:ascii="PingFang TC Regular" w:hAnsi="PingFang TC Regular" w:eastAsia="PingFang TC Regular" w:cs="PingFang TC Regular"/>
          <w:highlight w:val="none"/>
        </w:rPr>
        <w:t>論文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中，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兩者均需提供：  </w:t>
      </w:r>
    </w:p>
    <w:p w14:paraId="75E27D5D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b/>
          <w:bCs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b/>
          <w:bCs/>
        </w:rPr>
        <w:t>References</w:t>
      </w:r>
      <w:r>
        <w:rPr>
          <w:rFonts w:hint="eastAsia" w:ascii="PingFang TC Regular" w:hAnsi="PingFang TC Regular" w:eastAsia="PingFang TC Regular" w:cs="PingFang TC Regular"/>
          <w:b/>
          <w:bCs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highlight w:val="none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引用文獻，僅包含在你的論文中被直接引用的來源</w:t>
      </w:r>
    </w:p>
    <w:p w14:paraId="2B039105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b/>
          <w:bCs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b/>
          <w:bCs/>
        </w:rPr>
        <w:t>Bibliography</w:t>
      </w:r>
      <w:r>
        <w:rPr>
          <w:rFonts w:hint="eastAsia" w:ascii="PingFang TC Regular" w:hAnsi="PingFang TC Regular" w:eastAsia="PingFang TC Regular" w:cs="PingFang TC Regular"/>
          <w:b/>
          <w:bCs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highlight w:val="none"/>
        </w:rPr>
        <w:t>：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參考書目，包含你在論文中使用的所有來源，無論它們是否被直接引用。在參考書目中，你應該列出所有在準備論文過程中參考過的材料</w:t>
      </w:r>
    </w:p>
    <w:p w14:paraId="629A6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0791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標準引用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格式：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 xml:space="preserve"> </w:t>
      </w:r>
    </w:p>
    <w:p w14:paraId="479F112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請</w:t>
      </w:r>
      <w:r>
        <w:rPr>
          <w:rFonts w:hint="eastAsia" w:ascii="PingFang TC Regular" w:hAnsi="PingFang TC Regular" w:eastAsia="PingFang TC Regular" w:cs="PingFang TC Regular"/>
          <w:highlight w:val="none"/>
        </w:rPr>
        <w:t>與導師確認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你需要用何種引用格式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：  </w:t>
      </w:r>
    </w:p>
    <w:p w14:paraId="54FC5482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b w:val="0"/>
          <w:bCs w:val="0"/>
          <w:highlight w:val="none"/>
        </w:rPr>
      </w:pPr>
      <w:r>
        <w:rPr>
          <w:rFonts w:hint="eastAsia" w:ascii="PingFang TC Regular" w:hAnsi="PingFang TC Regular" w:eastAsia="PingFang TC Regular" w:cs="PingFang TC Regular"/>
          <w:b w:val="0"/>
          <w:bCs w:val="0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b w:val="0"/>
          <w:bCs w:val="0"/>
        </w:rPr>
        <w:t>Chicago Manual of Style</w:t>
      </w:r>
      <w:r>
        <w:rPr>
          <w:rFonts w:hint="eastAsia" w:ascii="PingFang TC Regular" w:hAnsi="PingFang TC Regular" w:eastAsia="PingFang TC Regular" w:cs="PingFang TC Regular"/>
          <w:b w:val="0"/>
          <w:bCs w:val="0"/>
          <w:highlight w:val="none"/>
        </w:rPr>
        <w:t>（第17版）</w:t>
      </w:r>
      <w:r>
        <w:rPr>
          <w:rFonts w:hint="eastAsia" w:ascii="PingFang TC Regular" w:hAnsi="PingFang TC Regular" w:eastAsia="PingFang TC Regular" w:cs="PingFang TC Regular"/>
          <w:b w:val="0"/>
          <w:bCs w:val="0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b w:val="0"/>
          <w:bCs w:val="0"/>
          <w:highlight w:val="none"/>
        </w:rPr>
        <w:t xml:space="preserve">：藝術史和實踐型研究中最常用；特別適合藝術作品、展覽和非印刷來源  </w:t>
      </w:r>
    </w:p>
    <w:p w14:paraId="2AC81BB1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b w:val="0"/>
          <w:bCs w:val="0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b w:val="0"/>
          <w:bCs w:val="0"/>
          <w:highlight w:val="none"/>
        </w:rPr>
        <w:t>MLA（第9版）</w:t>
      </w:r>
      <w:r>
        <w:rPr>
          <w:rFonts w:hint="eastAsia" w:ascii="PingFang TC Regular" w:hAnsi="PingFang TC Regular" w:eastAsia="PingFang TC Regular" w:cs="PingFang TC Regular"/>
          <w:b w:val="0"/>
          <w:bCs w:val="0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b w:val="0"/>
          <w:bCs w:val="0"/>
          <w:highlight w:val="none"/>
        </w:rPr>
        <w:t>：適合以人文</w:t>
      </w:r>
      <w:r>
        <w:rPr>
          <w:rFonts w:hint="eastAsia" w:ascii="PingFang TC Regular" w:hAnsi="PingFang TC Regular" w:eastAsia="PingFang TC Regular" w:cs="PingFang TC Regular"/>
          <w:b w:val="0"/>
          <w:bCs w:val="0"/>
          <w:highlight w:val="none"/>
          <w:lang w:val="en-US" w:eastAsia="zh-CN"/>
        </w:rPr>
        <w:t>學科</w:t>
      </w:r>
      <w:r>
        <w:rPr>
          <w:rFonts w:hint="eastAsia" w:ascii="PingFang TC Regular" w:hAnsi="PingFang TC Regular" w:eastAsia="PingFang TC Regular" w:cs="PingFang TC Regular"/>
          <w:b w:val="0"/>
          <w:bCs w:val="0"/>
          <w:highlight w:val="none"/>
        </w:rPr>
        <w:t xml:space="preserve">為重點的論文 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</w:t>
      </w:r>
    </w:p>
    <w:p w14:paraId="42F5159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AF3B17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使用參考文獻管理工具如Zotero、EndNote或Mendeley來自動格式化。</w:t>
      </w:r>
    </w:p>
    <w:p w14:paraId="2E2F9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4A07E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引用非傳統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印刷物资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 xml:space="preserve">源（芝加哥注釋-書目格式示例）：  </w:t>
      </w:r>
    </w:p>
    <w:p w14:paraId="4A1FD69D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藝術作品：  </w:t>
      </w:r>
    </w:p>
    <w:p w14:paraId="007D4DC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</w:t>
      </w: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腳註：Olafur Eliasson, </w:t>
      </w:r>
      <w:r>
        <w:rPr>
          <w:rFonts w:hint="eastAsia" w:ascii="PingFang TC Regular" w:hAnsi="PingFang TC Regular" w:eastAsia="PingFang TC Regular" w:cs="PingFang TC Regular"/>
          <w:i/>
          <w:i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The Weather Project</w:t>
      </w: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, 2003, Monofrequency lights, projection foil, haze machines, mirror ceiling, Tate Modern, London.  </w:t>
      </w:r>
    </w:p>
    <w:p w14:paraId="56195F60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展覽：  </w:t>
      </w:r>
    </w:p>
    <w:p w14:paraId="622DA85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腳註：Hans Ulrich Obrist, </w:t>
      </w:r>
      <w:r>
        <w:rPr>
          <w:rFonts w:hint="eastAsia" w:ascii="PingFang TC Regular" w:hAnsi="PingFang TC Regular" w:eastAsia="PingFang TC Regular" w:cs="PingFang TC Regular"/>
          <w:i/>
          <w:i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The Way Things Are</w:t>
      </w: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, S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erpentine Gallery, London, 10 June–17 August 2014.  </w:t>
      </w:r>
    </w:p>
    <w:p w14:paraId="05E8CE4A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訪談：  </w:t>
      </w:r>
    </w:p>
    <w:p w14:paraId="5983EE0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  腳註：Marina Abramović, interview by the author, Venice, 5 May 2025.  </w:t>
      </w:r>
    </w:p>
    <w:p w14:paraId="7BD3985A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影片/表演</w:t>
      </w: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：  </w:t>
      </w:r>
    </w:p>
    <w:p w14:paraId="39D9820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腳註：Bill Viola, </w:t>
      </w:r>
      <w:r>
        <w:rPr>
          <w:rFonts w:hint="eastAsia" w:ascii="PingFang TC Regular" w:hAnsi="PingFang TC Regular" w:eastAsia="PingFang TC Regular" w:cs="PingFang TC Regular"/>
          <w:i/>
          <w:i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The Greeting</w:t>
      </w:r>
      <w:r>
        <w:rPr>
          <w:rFonts w:hint="eastAsia" w:ascii="PingFang TC Regular" w:hAnsi="PingFang TC Regular" w:eastAsia="PingFang TC Regular" w:cs="PingFang TC Regular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, 1995, Video installation, Whitney Museum of American Art, New York.  </w:t>
      </w:r>
    </w:p>
    <w:p w14:paraId="124E7518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對於數字/臨時性來源，請包含</w:t>
      </w:r>
      <w:r>
        <w:rPr>
          <w:rFonts w:hint="eastAsia" w:ascii="PingFang TC Regular" w:hAnsi="PingFang TC Regular" w:eastAsia="PingFang TC Regular" w:cs="PingFang TC Regular"/>
          <w:b w:val="0"/>
          <w:bCs w:val="0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訪問日期</w:t>
      </w:r>
      <w:r>
        <w:rPr>
          <w:rFonts w:hint="eastAsia" w:ascii="PingFang TC Regular" w:hAnsi="PingFang TC Regular" w:eastAsia="PingFang TC Regular" w:cs="PingFang TC Regular"/>
          <w:b w:val="0"/>
          <w:bCs w:val="0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highlight w:val="none"/>
        </w:rPr>
        <w:t>、</w:t>
      </w:r>
      <w:r>
        <w:rPr>
          <w:rFonts w:hint="eastAsia" w:ascii="PingFang TC Regular" w:hAnsi="PingFang TC Regular" w:eastAsia="PingFang TC Regular" w:cs="PingFang TC Regular"/>
          <w:b w:val="0"/>
          <w:bCs w:val="0"/>
          <w:color w:val="auto"/>
          <w:highlight w:val="none"/>
        </w:rPr>
        <w:t>「</w:t>
      </w:r>
      <w:r>
        <w:rPr>
          <w:rFonts w:hint="eastAsia" w:ascii="PingFang TC Regular" w:hAnsi="PingFang TC Regular" w:eastAsia="PingFang TC Regular" w:cs="PingFang TC Regular"/>
          <w:highlight w:val="none"/>
        </w:rPr>
        <w:t>URL/DOI</w:t>
      </w:r>
      <w:r>
        <w:rPr>
          <w:rFonts w:hint="eastAsia" w:ascii="PingFang TC Regular" w:hAnsi="PingFang TC Regular" w:eastAsia="PingFang TC Regular" w:cs="PingFang TC Regular"/>
          <w:b w:val="0"/>
          <w:bCs w:val="0"/>
          <w:color w:val="auto"/>
          <w:highlight w:val="none"/>
        </w:rPr>
        <w:t>」</w:t>
      </w:r>
      <w:r>
        <w:rPr>
          <w:rFonts w:hint="eastAsia" w:ascii="PingFang TC Regular" w:hAnsi="PingFang TC Regular" w:eastAsia="PingFang TC Regular" w:cs="PingFang TC Regular"/>
          <w:highlight w:val="none"/>
        </w:rPr>
        <w:t>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或其他穩定的可識別資訊</w:t>
      </w:r>
      <w:r>
        <w:rPr>
          <w:rFonts w:hint="eastAsia" w:ascii="PingFang TC Regular" w:hAnsi="PingFang TC Regular" w:eastAsia="PingFang TC Regular" w:cs="PingFang TC Regular"/>
          <w:highlight w:val="none"/>
        </w:rPr>
        <w:t>。</w:t>
      </w:r>
    </w:p>
    <w:p w14:paraId="50FC2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557BC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 xml:space="preserve">創建全面的參考文獻：  </w:t>
      </w:r>
    </w:p>
    <w:p w14:paraId="7A2CCF4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建立一份能夠反映你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項目</w:t>
      </w:r>
      <w:r>
        <w:rPr>
          <w:rFonts w:hint="eastAsia" w:ascii="PingFang TC Regular" w:hAnsi="PingFang TC Regular" w:eastAsia="PingFang TC Regular" w:cs="PingFang TC Regular"/>
          <w:highlight w:val="none"/>
        </w:rPr>
        <w:t>跨學科範疇的參考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文獻</w:t>
      </w:r>
      <w:r>
        <w:rPr>
          <w:rFonts w:hint="eastAsia" w:ascii="PingFang TC Regular" w:hAnsi="PingFang TC Regular" w:eastAsia="PingFang TC Regular" w:cs="PingFang TC Regular"/>
          <w:highlight w:val="none"/>
        </w:rPr>
        <w:t>，內容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可</w:t>
      </w:r>
      <w:r>
        <w:rPr>
          <w:rFonts w:hint="eastAsia" w:ascii="PingFang TC Regular" w:hAnsi="PingFang TC Regular" w:eastAsia="PingFang TC Regular" w:cs="PingFang TC Regular"/>
          <w:highlight w:val="none"/>
        </w:rPr>
        <w:t>涵蓋：藝術史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案</w:t>
      </w:r>
      <w:r>
        <w:rPr>
          <w:rFonts w:hint="eastAsia" w:ascii="PingFang TC Regular" w:hAnsi="PingFang TC Regular" w:eastAsia="PingFang TC Regular" w:cs="PingFang TC Regular"/>
          <w:highlight w:val="none"/>
        </w:rPr>
        <w:t>例、理論文本、藝術家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寫作</w:t>
      </w:r>
      <w:r>
        <w:rPr>
          <w:rFonts w:hint="eastAsia" w:ascii="PingFang TC Regular" w:hAnsi="PingFang TC Regular" w:eastAsia="PingFang TC Regular" w:cs="PingFang TC Regular"/>
          <w:highlight w:val="none"/>
        </w:rPr>
        <w:t>、展覽圖錄、訪談、電影</w:t>
      </w:r>
      <w:r>
        <w:rPr>
          <w:rFonts w:hint="eastAsia" w:ascii="PingFang TC Regular" w:hAnsi="PingFang TC Regular" w:eastAsia="PingFang TC Regular" w:cs="PingFang TC Regular"/>
          <w:highlight w:val="none"/>
          <w:lang w:eastAsia="zh-CN"/>
        </w:rPr>
        <w:t>、</w:t>
      </w:r>
      <w:r>
        <w:rPr>
          <w:rFonts w:hint="eastAsia" w:ascii="PingFang TC Regular" w:hAnsi="PingFang TC Regular" w:eastAsia="PingFang TC Regular" w:cs="PingFang TC Regular"/>
          <w:highlight w:val="none"/>
        </w:rPr>
        <w:t>以及基於實踐的論文。按字母順序排列；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也</w:t>
      </w:r>
      <w:r>
        <w:rPr>
          <w:rFonts w:hint="eastAsia" w:ascii="PingFang TC Regular" w:hAnsi="PingFang TC Regular" w:eastAsia="PingFang TC Regular" w:cs="PingFang TC Regular"/>
          <w:highlight w:val="none"/>
        </w:rPr>
        <w:t>可將其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細</w:t>
      </w:r>
      <w:r>
        <w:rPr>
          <w:rFonts w:hint="eastAsia" w:ascii="PingFang TC Regular" w:hAnsi="PingFang TC Regular" w:eastAsia="PingFang TC Regular" w:cs="PingFang TC Regular"/>
          <w:highlight w:val="none"/>
        </w:rPr>
        <w:t>分為第一手資料和二手資料。納入多樣化的媒介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以體現你除文字外的涉獵</w:t>
      </w:r>
      <w:r>
        <w:rPr>
          <w:rFonts w:hint="eastAsia" w:ascii="PingFang TC Regular" w:hAnsi="PingFang TC Regular" w:eastAsia="PingFang TC Regular" w:cs="PingFang TC Regular"/>
          <w:highlight w:val="none"/>
        </w:rPr>
        <w:t>（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通常</w:t>
      </w:r>
      <w:r>
        <w:rPr>
          <w:rFonts w:hint="eastAsia" w:ascii="PingFang TC Regular" w:hAnsi="PingFang TC Regular" w:eastAsia="PingFang TC Regular" w:cs="PingFang TC Regular"/>
          <w:highlight w:val="none"/>
        </w:rPr>
        <w:t>藝術博士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是</w:t>
      </w:r>
      <w:r>
        <w:rPr>
          <w:rFonts w:hint="eastAsia" w:ascii="PingFang TC Regular" w:hAnsi="PingFang TC Regular" w:eastAsia="PingFang TC Regular" w:cs="PingFang TC Regular"/>
          <w:highlight w:val="none"/>
        </w:rPr>
        <w:t>20 至 40 個以上的條目）。隨著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你</w:t>
      </w:r>
      <w:r>
        <w:rPr>
          <w:rFonts w:hint="eastAsia" w:ascii="PingFang TC Regular" w:hAnsi="PingFang TC Regular" w:eastAsia="PingFang TC Regular" w:cs="PingFang TC Regular"/>
          <w:highlight w:val="none"/>
        </w:rPr>
        <w:t>閱讀與創作的推進，</w:t>
      </w: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條目也會不斷</w:t>
      </w:r>
      <w:r>
        <w:rPr>
          <w:rFonts w:hint="eastAsia" w:ascii="PingFang TC Regular" w:hAnsi="PingFang TC Regular" w:eastAsia="PingFang TC Regular" w:cs="PingFang TC Regular"/>
          <w:highlight w:val="none"/>
        </w:rPr>
        <w:t>更新。</w:t>
      </w:r>
    </w:p>
    <w:p w14:paraId="1D37355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47B3FF8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  <w:lang w:val="en-US" w:eastAsia="zh-CN"/>
        </w:rPr>
        <w:t>更多請</w:t>
      </w: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參考：  </w:t>
      </w:r>
    </w:p>
    <w:p w14:paraId="4AF7B20D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 xml:space="preserve">Chicago Manual of Style Online (chicagomanualofstyle.org)  </w:t>
      </w:r>
    </w:p>
    <w:p w14:paraId="43B40160">
      <w:pPr>
        <w:keepNext w:val="0"/>
        <w:keepLines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  <w:r>
        <w:rPr>
          <w:rFonts w:hint="eastAsia" w:ascii="PingFang TC Regular" w:hAnsi="PingFang TC Regular" w:eastAsia="PingFang TC Regular" w:cs="PingFang TC Regular"/>
          <w:highlight w:val="none"/>
        </w:rPr>
        <w:t>Purdue OWL (owl.purdue.edu)</w:t>
      </w:r>
    </w:p>
    <w:p w14:paraId="56EE5FE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7FFEEF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7D7532F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6D6C3D5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547F79C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highlight w:val="none"/>
        </w:rPr>
      </w:pPr>
    </w:p>
    <w:p w14:paraId="25C5AC0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</w:rPr>
      </w:pPr>
    </w:p>
    <w:p w14:paraId="057EE93C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</w:pP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  <w:t>第四部分：論文與考核（第</w:t>
      </w: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val="en-US" w:eastAsia="zh-TW"/>
        </w:rPr>
        <w:t>3-4</w:t>
      </w: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eastAsia="zh-TW"/>
        </w:rPr>
        <w:t>學年）</w:t>
      </w:r>
    </w:p>
    <w:p w14:paraId="7FFFA37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/>
          <w:bCs/>
          <w:sz w:val="28"/>
          <w:szCs w:val="28"/>
          <w:lang w:eastAsia="zh-TW"/>
        </w:rPr>
      </w:pPr>
    </w:p>
    <w:p w14:paraId="2B247BF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/>
          <w:bCs/>
          <w:sz w:val="28"/>
          <w:szCs w:val="28"/>
          <w:lang w:eastAsia="zh-TW"/>
        </w:rPr>
      </w:pPr>
    </w:p>
    <w:p w14:paraId="57A6A1F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</w:pP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「對於藝術家-研究者而言，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TW"/>
        </w:rPr>
        <w:t>寫作</w:t>
      </w: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非一種選擇；</w:t>
      </w:r>
    </w:p>
    <w:p w14:paraId="154D462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</w:pPr>
      <w:r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  <w:t>其乃實踐轉化為知識、反思轉化為洞察、直覺變得可被闡述之手段。」</w:t>
      </w:r>
    </w:p>
    <w:p w14:paraId="5089F84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0"/>
          <w:szCs w:val="20"/>
          <w:lang w:eastAsia="zh-TW"/>
        </w:rPr>
      </w:pPr>
      <w:r>
        <w:rPr>
          <w:rFonts w:hint="eastAsia" w:ascii="PingFang TC Regular" w:hAnsi="PingFang TC Regular" w:eastAsia="PingFang TC Regular" w:cs="PingFang TC Regular"/>
          <w:sz w:val="20"/>
          <w:szCs w:val="20"/>
          <w:lang w:eastAsia="zh-TW"/>
        </w:rPr>
        <w:t>——芭芭拉·博爾特（Barbara Bolt），《視覺藝術中作為研究</w:t>
      </w:r>
      <w:r>
        <w:rPr>
          <w:rFonts w:hint="eastAsia" w:ascii="PingFang TC Regular" w:hAnsi="PingFang TC Regular" w:eastAsia="PingFang TC Regular" w:cs="PingFang TC Regular"/>
          <w:sz w:val="20"/>
          <w:szCs w:val="20"/>
          <w:lang w:val="en-US" w:eastAsia="zh-TW"/>
        </w:rPr>
        <w:t>的</w:t>
      </w:r>
      <w:r>
        <w:rPr>
          <w:rFonts w:hint="eastAsia" w:ascii="PingFang TC Regular" w:hAnsi="PingFang TC Regular" w:eastAsia="PingFang TC Regular" w:cs="PingFang TC Regular"/>
          <w:sz w:val="20"/>
          <w:szCs w:val="20"/>
          <w:lang w:eastAsia="zh-TW"/>
        </w:rPr>
        <w:t>實踐》（Practice as Research in the Visual Arts</w:t>
      </w:r>
      <w:r>
        <w:rPr>
          <w:rFonts w:hint="eastAsia" w:ascii="PingFang TC Regular" w:hAnsi="PingFang TC Regular" w:eastAsia="PingFang TC Regular" w:cs="PingFang TC Regular"/>
          <w:sz w:val="20"/>
          <w:szCs w:val="20"/>
          <w:lang w:val="en-US" w:eastAsia="zh-TW"/>
        </w:rPr>
        <w:t xml:space="preserve">, </w:t>
      </w:r>
      <w:r>
        <w:rPr>
          <w:rFonts w:hint="eastAsia" w:ascii="PingFang TC Regular" w:hAnsi="PingFang TC Regular" w:eastAsia="PingFang TC Regular" w:cs="PingFang TC Regular"/>
          <w:sz w:val="20"/>
          <w:szCs w:val="20"/>
          <w:lang w:eastAsia="zh-TW"/>
        </w:rPr>
        <w:t>2007）</w:t>
      </w:r>
    </w:p>
    <w:p w14:paraId="5805892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lang w:eastAsia="zh-TW"/>
        </w:rPr>
      </w:pPr>
    </w:p>
    <w:p w14:paraId="76A4314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688F28B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你已步入研習旅程的最後階段。在通過開題答辯後，你過往的獨立研究、持續的藝術創作與批判反思，將在此匯聚，指向最終的論文提交與答辯。這意味著，你的作品展覽與論文口頭答辯，將被視為一個整體，用以整體評估你的學術貢獻。</w:t>
      </w:r>
    </w:p>
    <w:p w14:paraId="483A537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 w:val="0"/>
          <w:bCs w:val="0"/>
          <w:sz w:val="28"/>
          <w:szCs w:val="28"/>
          <w:lang w:val="en-US" w:eastAsia="zh-TW"/>
        </w:rPr>
      </w:pPr>
    </w:p>
    <w:p w14:paraId="37B6BBA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 w:val="0"/>
          <w:bCs w:val="0"/>
          <w:sz w:val="28"/>
          <w:szCs w:val="28"/>
          <w:lang w:val="en-US" w:eastAsia="zh-TW"/>
        </w:rPr>
      </w:pPr>
    </w:p>
    <w:p w14:paraId="37E553CF">
      <w:pPr>
        <w:keepNext w:val="0"/>
        <w:keepLines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sz w:val="32"/>
          <w:szCs w:val="32"/>
          <w:lang w:val="en-US" w:eastAsia="zh-TW"/>
        </w:rPr>
      </w:pPr>
      <w:r>
        <w:rPr>
          <w:rFonts w:hint="eastAsia" w:ascii="PingFang TC Semibold" w:hAnsi="PingFang TC Semibold" w:eastAsia="PingFang TC Semibold" w:cs="PingFang TC Semibold"/>
          <w:b/>
          <w:bCs/>
          <w:sz w:val="32"/>
          <w:szCs w:val="32"/>
          <w:lang w:val="en-US" w:eastAsia="zh-TW"/>
        </w:rPr>
        <w:t>構建藝術實踐型論文</w:t>
      </w:r>
    </w:p>
    <w:p w14:paraId="6AFCBF6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實踐型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藝術博士論文是一個「一體兩面」的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共生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整體：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實踐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（展覽、系列作品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、展陳方式、呈現效果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等）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體現的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是核心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的博士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貢獻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；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文本面則負責提供批判性反思、理論框架、方法論闡述，並證明研究的嚴謹性。二者共同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證明你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的藝術實踐能夠產生新的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成果。</w:t>
      </w:r>
    </w:p>
    <w:p w14:paraId="4BC7D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1909F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二者的共生關係體現如下：</w:t>
      </w:r>
    </w:p>
    <w:p w14:paraId="493EE5EA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lef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實踐主導：新的知識與洞見，首先源自創作過程。文本闡釋：隨後的寫作，旨在將闡明實踐如何構成研究、進行脈絡定位、深度反思並提供嚴謹證據。</w:t>
      </w:r>
    </w:p>
    <w:p w14:paraId="5F05F629">
      <w:pPr>
        <w:pStyle w:val="14"/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兩者缺一不可，形成閉環。考官將基於以下三點進行整體評核：藝術創意、思想深度，以及實踐與論述是否自洽統一。</w:t>
      </w:r>
    </w:p>
    <w:p w14:paraId="6A50B96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  <w:lang w:val="en-US" w:eastAsia="zh-TW"/>
        </w:rPr>
      </w:pPr>
    </w:p>
    <w:p w14:paraId="6E687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論文結構模式：</w:t>
      </w:r>
    </w:p>
    <w:p w14:paraId="5CF11BB6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選擇最適合你項目的模型（盡早與導師討論）：</w:t>
      </w:r>
    </w:p>
    <w:p w14:paraId="6A7FDE92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整合式：書面論文與創意作品交織貫穿全文。各章節交替或混合描述包含創作過程、图像记录、理论分析和个人反思等內容。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最佳适用：强调过程探索，或媒介、方法高度混合的课题</w:t>
      </w:r>
    </w:p>
    <w:p w14:paraId="4BC5C212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平行式：論文由清晰的兩大塊構成——首先是完整的學術論述，隨後為獨立的作品集、展覽紀錄。視覺材料集中編排，並與前文通過標註和引用相互參照。最佳適用：最終呈現為大型作品或以展覽為核心的課題</w:t>
      </w:r>
    </w:p>
    <w:p w14:paraId="6688D1DF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序列式：先以書面部分闡述，鋪陳研究路徑與理論框架；後以展覽作為實體化成果接受評估。此方法相對少見，適用：需要先通過大量寫作建立扎實理論基礎的課題</w:t>
      </w:r>
    </w:p>
    <w:p w14:paraId="041B5D63">
      <w:pPr>
        <w:pStyle w:val="14"/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大多數藝術博士候選人使用整合式或平行式模型，以強調實踐的核心地位。請注意遵循大學的格式指引，並在全文使用高質量的視覺資料。</w:t>
      </w:r>
    </w:p>
    <w:p w14:paraId="74D9D28E">
      <w:pPr>
        <w:pStyle w:val="14"/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i/>
          <w:iCs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i/>
          <w:iCs/>
          <w:kern w:val="2"/>
          <w:sz w:val="24"/>
          <w:szCs w:val="24"/>
          <w:lang w:val="en-US" w:eastAsia="zh-TW" w:bidi="ar-SA"/>
          <w14:ligatures w14:val="standardContextual"/>
        </w:rPr>
        <w:t>註：有關藝術博士書面論文部分之典型大綱，請參見附錄。</w:t>
      </w:r>
    </w:p>
    <w:p w14:paraId="25DDD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48F6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展覽的角色：</w:t>
      </w:r>
    </w:p>
    <w:p w14:paraId="75DF8D50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展覽（或同等級最終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項目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）是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提交與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接受評估的主要方式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。必須展現：</w:t>
      </w:r>
    </w:p>
    <w:p w14:paraId="2E3BEF7A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原創性與技術/概念成熟度</w:t>
      </w:r>
    </w:p>
    <w:p w14:paraId="01343A7F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對當代藝術的貢獻</w:t>
      </w:r>
    </w:p>
    <w:p w14:paraId="616F347E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完整文獻紀錄（過程紀錄、展冊文本、表演類作品需附影片）</w:t>
      </w:r>
    </w:p>
    <w:p w14:paraId="746BF349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480" w:firstLineChars="20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請在論文中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設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專章說明展覽的概念架構、陳設選擇、觀者互動，以及如何回應研究問題。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最終答辯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將同時討論展覽與書面論文。</w:t>
      </w:r>
    </w:p>
    <w:p w14:paraId="3E37B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6046C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最終作品的紀錄：</w:t>
      </w:r>
    </w:p>
    <w:p w14:paraId="4C0F6DBD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高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質量記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錄對評審至關重要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：</w:t>
      </w:r>
    </w:p>
    <w:p w14:paraId="4599FC67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攝影：專業水準拍攝（高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分辨率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、一致光線、多角度、細節特寫、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裝置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全景）</w:t>
      </w:r>
    </w:p>
    <w:p w14:paraId="38F7A028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視頻/音頻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：時間性／表演類作品需剪輯片段，呈現過程與最終狀態（最長 5–15 分鐘）</w:t>
      </w:r>
    </w:p>
    <w:p w14:paraId="46E75AC8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技術規格：尺寸、材質、時長、互動元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素</w:t>
      </w:r>
    </w:p>
    <w:p w14:paraId="122C3939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提交格式：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圖像資料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嵌入論文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電子文檔中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；必要時另附高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分辨率文件</w:t>
      </w:r>
    </w:p>
    <w:p w14:paraId="4F23B162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請謹記在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第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3-4學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年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間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持續紀錄，這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些存檔也將成為支撐你的答辯陳述和未來作品集的重要內容。</w:t>
      </w:r>
    </w:p>
    <w:p w14:paraId="06E3719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  <w:lang w:val="en-US" w:eastAsia="zh-TW"/>
        </w:rPr>
      </w:pPr>
    </w:p>
    <w:p w14:paraId="6EDC461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TW"/>
        </w:rPr>
      </w:pPr>
    </w:p>
    <w:p w14:paraId="7E86E3F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TW"/>
        </w:rPr>
      </w:pPr>
    </w:p>
    <w:p w14:paraId="5F26B45C">
      <w:pPr>
        <w:pStyle w:val="3"/>
        <w:keepNext w:val="0"/>
        <w:keepLines w:val="0"/>
        <w:widowControl w:val="0"/>
        <w:numPr>
          <w:ilvl w:val="0"/>
          <w:numId w:val="2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420" w:leftChars="0" w:right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  <w:t>論文答辯準備</w:t>
      </w:r>
    </w:p>
    <w:p w14:paraId="20A6CCA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論文答辯是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一場正式的學術考試，以學術對話的形式進行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將為整體創作成果、書面論文，以及兩者之間的關係進行辯護。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這場考試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通常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會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在提交書面論文與展覽紀錄後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進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行，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主要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參與者包括指導教授、校內評審與校外評審。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答辯持續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時長約 60–120 分鐘。</w:t>
      </w:r>
    </w:p>
    <w:p w14:paraId="033E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18C1F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預期內容：</w:t>
      </w:r>
    </w:p>
    <w:p w14:paraId="327B521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1" w:afterLines="50" w:afterAutospacing="0" w:line="480" w:lineRule="atLeast"/>
        <w:ind w:right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與傳統博士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答辯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不同，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藝術博士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答辯以實踐為核心。評審委員會將同時評估作品的藝術價值與批判性反思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水平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。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預期流程如下：</w:t>
      </w:r>
    </w:p>
    <w:p w14:paraId="41873654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個人簡短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陳述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（10–20分鐘）：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總結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研究問題、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關鍵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作品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過程、研究方法、貢獻、實踐與書寫的關係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等</w:t>
      </w:r>
    </w:p>
    <w:p w14:paraId="3E66A90A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問答環節：評審將提出針對性提問，包含但不限於：</w:t>
      </w:r>
    </w:p>
    <w:p w14:paraId="3FB4950C">
      <w:pPr>
        <w:keepNext w:val="0"/>
        <w:keepLines w:val="0"/>
        <w:widowControl w:val="0"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leftChars="0" w:right="0" w:firstLine="48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針對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實踐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提問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：「為何選擇此材質？」「展覽如何體現你的研究發現？」</w:t>
      </w:r>
    </w:p>
    <w:p w14:paraId="0FC5CC38">
      <w:pPr>
        <w:keepNext w:val="0"/>
        <w:keepLines w:val="0"/>
        <w:widowControl w:val="0"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leftChars="0" w:right="0" w:firstLine="48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針對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理論／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語境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提問：「你的作品如何延伸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學界現有相關研究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？」</w:t>
      </w:r>
    </w:p>
    <w:p w14:paraId="568E4AA9">
      <w:pPr>
        <w:keepNext w:val="0"/>
        <w:keepLines w:val="0"/>
        <w:widowControl w:val="0"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leftChars="0" w:right="0" w:firstLine="48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針對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研究方法提問：「你是如何透過不斷修改、反覆實驗，得出這個研究發現的？」</w:t>
      </w:r>
    </w:p>
    <w:p w14:paraId="657317C6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延伸討論：針對研究限制、未來發展方向，以及研究的整體廣泛意涵進行探討</w:t>
      </w:r>
    </w:p>
    <w:p w14:paraId="4722905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beforeAutospacing="0" w:after="0" w:afterAutospacing="0" w:line="480" w:lineRule="atLeast"/>
        <w:ind w:right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整體氛圍通常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是友好的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，但評審會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提出具有探究性和批判性的問題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以檢驗你研究的深度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、原創性與嚴謹度。目標是評估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能否清晰闡述與辯護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個人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藝術決策、方法選擇、概念架構與整體貢獻。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評估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結果包括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通過、小幅／大幅修訂，或（極少數）重新提交。</w:t>
      </w:r>
    </w:p>
    <w:p w14:paraId="5D4D6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4565E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展示你的研究：</w:t>
      </w:r>
    </w:p>
    <w:p w14:paraId="7B87B52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1" w:afterLines="50" w:afterAutospacing="0" w:line="480" w:lineRule="atLeast"/>
        <w:ind w:left="0" w:right="0" w:firstLine="480" w:firstLineChars="20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準備一份清晰簡潔的簡報（PowerPoint/Keynote），搭配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高質量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視覺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材料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。</w:t>
      </w:r>
    </w:p>
    <w:p w14:paraId="363D6C70">
      <w:pPr>
        <w:pStyle w:val="4"/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420" w:leftChars="0" w:right="0" w:hanging="420" w:firstLineChars="0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幻燈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片架構</w:t>
      </w:r>
    </w:p>
    <w:p w14:paraId="0FA4BDF0">
      <w:pPr>
        <w:keepNext w:val="0"/>
        <w:keepLines w:val="0"/>
        <w:widowControl w:val="0"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leftChars="0" w:right="0" w:firstLine="48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標題／研究問題 → 研究語境與空白 → 研究方法／實踐概述 → 核心作品（過程＋最終圖像）→ 批判性反思與貢獻 → 結論與未來方向</w:t>
      </w:r>
    </w:p>
    <w:p w14:paraId="637DF88D">
      <w:pPr>
        <w:keepNext w:val="0"/>
        <w:keepLines w:val="0"/>
        <w:widowControl w:val="0"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leftChars="0" w:right="0" w:firstLine="48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減少文字量，讓圖像呈現重點；可使用圖說、時間軸與圖表</w:t>
      </w:r>
    </w:p>
    <w:p w14:paraId="6776E551">
      <w:pPr>
        <w:pStyle w:val="4"/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420" w:leftChars="0" w:right="0" w:hanging="420" w:firstLineChars="0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簡報演練</w:t>
      </w:r>
    </w:p>
    <w:p w14:paraId="6D1E49BD">
      <w:pPr>
        <w:keepNext w:val="0"/>
        <w:keepLines w:val="0"/>
        <w:widowControl w:val="0"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leftChars="0" w:right="0" w:firstLine="48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大聲練習並計時，錄影檢視並調整表達節奏</w:t>
      </w:r>
    </w:p>
    <w:p w14:paraId="5731716B">
      <w:pPr>
        <w:keepNext w:val="0"/>
        <w:keepLines w:val="0"/>
        <w:widowControl w:val="0"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leftChars="0" w:right="0" w:firstLine="48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預想具挑戰性但公平的提問，並針對倫理、研究限制、理論等潛在議題預備答案</w:t>
      </w:r>
    </w:p>
    <w:p w14:paraId="52D42831">
      <w:pPr>
        <w:pStyle w:val="4"/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420" w:leftChars="0" w:right="0" w:hanging="420" w:firstLineChars="0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答辯應對技巧</w:t>
      </w:r>
    </w:p>
    <w:p w14:paraId="603394CA">
      <w:pPr>
        <w:keepNext w:val="0"/>
        <w:keepLines w:val="0"/>
        <w:widowControl w:val="0"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leftChars="0" w:right="0" w:firstLine="48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答辯時以研究證據為基礎，可參考創作紀錄、研究日記、展覽規畫與論文段落</w:t>
      </w:r>
    </w:p>
    <w:p w14:paraId="2818DBDD">
      <w:pPr>
        <w:keepNext w:val="0"/>
        <w:keepLines w:val="0"/>
        <w:widowControl w:val="0"/>
        <w:numPr>
          <w:ilvl w:val="0"/>
          <w:numId w:val="2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leftChars="0" w:right="0" w:firstLine="48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面對質疑時，先認可合理觀點，再說明你的思考邏輯。</w:t>
      </w:r>
    </w:p>
    <w:p w14:paraId="2FF13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68E51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校外評審：</w:t>
      </w:r>
    </w:p>
    <w:p w14:paraId="2CF6FDB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beforeAutospacing="0" w:after="0" w:afterAutospacing="0" w:line="480" w:lineRule="atLeast"/>
        <w:ind w:right="0" w:firstLine="480" w:firstLineChars="20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校外評審是獨立專家（通常來自校外，在當代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藝術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專攻領域具學術地位）。他們提供客觀的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確保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符合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博士水準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原創性評估，並提出深入提問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以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檢視研究厚度。其評核報告具高度影響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力。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優秀的校外評審日後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可成為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重要推薦人或合作對象。</w:t>
      </w:r>
    </w:p>
    <w:p w14:paraId="1AEBC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3DB62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模擬答辯準備：</w:t>
      </w:r>
    </w:p>
    <w:p w14:paraId="372CE99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0" w:lineRule="atLeast"/>
        <w:ind w:right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模擬答辯不可或缺，多數候選人認為效果關鍵：</w:t>
      </w:r>
    </w:p>
    <w:p w14:paraId="6660BD81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正式答辯前6–8週，與指導教授、同學或受邀的其他教師安排1-2次模擬答辯</w:t>
      </w:r>
    </w:p>
    <w:p w14:paraId="0F0C4BBB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還原正式流程：個人陳述及45–60分鐘提問（要求模擬評審提出建設性的批判意見或問題）</w:t>
      </w:r>
    </w:p>
    <w:p w14:paraId="49C9E2CF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徵求在場人同意後錄影，以回顧自己的回答、肢體語言和表達清晰度</w:t>
      </w:r>
    </w:p>
    <w:p w14:paraId="65D1B6D4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準備「小抄」：整理一份包含關鍵點（論文頁碼、作品引用、參考文獻）的清單</w:t>
      </w:r>
    </w:p>
    <w:p w14:paraId="5807629F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抗壓練習：控制回答時間、應對打斷、遇困難時保持冷靜</w:t>
      </w:r>
    </w:p>
    <w:p w14:paraId="05029836">
      <w:pPr>
        <w:pStyle w:val="14"/>
        <w:keepNext w:val="0"/>
        <w:keepLines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4"/>
          <w:szCs w:val="24"/>
          <w:lang w:eastAsia="zh-TW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每次模擬後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，記住修補薄弱環節（明確方法論、加強理論聯繫）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。正式答辯時，你將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有信心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以專家身份自信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地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討論作品。答辯是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藝術博士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旅程的總結：既是考核，也是對成果的慶祝。充分準備、相信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自己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——你是最瞭解這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項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研究的人。</w:t>
      </w:r>
    </w:p>
    <w:p w14:paraId="30AAC3D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4"/>
          <w:szCs w:val="24"/>
          <w:lang w:eastAsia="zh-TW"/>
        </w:rPr>
      </w:pPr>
    </w:p>
    <w:p w14:paraId="6DD43B3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2E558A0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2DBBE57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0F5D0CC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75932DC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55C2AE1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1421D13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2016235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5A03D42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7AFE293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05D8A6F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69B2DE6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0489409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07DF047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08F602A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33F0D31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4C1D07A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74AFB66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10DFA32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2BF54D4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18AD3C69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sz w:val="20"/>
          <w:szCs w:val="20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val="en-US" w:eastAsia="zh-CN"/>
        </w:rPr>
        <w:t>第五部分：博士生的成長與發展</w:t>
      </w:r>
    </w:p>
    <w:p w14:paraId="7BE885A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b/>
          <w:bCs/>
          <w:sz w:val="32"/>
          <w:szCs w:val="32"/>
          <w:u w:val="single"/>
          <w:lang w:val="en-US" w:eastAsia="zh-CN"/>
        </w:rPr>
      </w:pPr>
    </w:p>
    <w:p w14:paraId="0A75050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sz w:val="22"/>
          <w:szCs w:val="22"/>
          <w:lang w:val="en-US" w:eastAsia="zh-CN"/>
        </w:rPr>
        <w:t>「健全的精神寓於健康的身體。」</w:t>
      </w:r>
    </w:p>
    <w:p w14:paraId="3919A06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sz w:val="20"/>
          <w:szCs w:val="20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sz w:val="20"/>
          <w:szCs w:val="20"/>
          <w:lang w:val="en-US" w:eastAsia="zh-CN"/>
        </w:rPr>
        <w:t>—— 尤維納利斯（</w:t>
      </w:r>
      <w:r>
        <w:rPr>
          <w:rFonts w:hint="eastAsia" w:ascii="PingFang TC Regular" w:hAnsi="PingFang TC Regular" w:eastAsia="PingFang TC Regular" w:cs="PingFang TC Regular"/>
          <w:sz w:val="20"/>
          <w:szCs w:val="20"/>
          <w:lang w:eastAsia="zh-TW"/>
        </w:rPr>
        <w:t>Juvenal，</w:t>
      </w:r>
      <w:r>
        <w:rPr>
          <w:rFonts w:hint="eastAsia" w:ascii="PingFang TC Regular" w:hAnsi="PingFang TC Regular" w:eastAsia="PingFang TC Regular" w:cs="PingFang TC Regular"/>
          <w:sz w:val="20"/>
          <w:szCs w:val="20"/>
          <w:lang w:val="en-US" w:eastAsia="zh-TW"/>
        </w:rPr>
        <w:t>羅馬詩人</w:t>
      </w:r>
      <w:r>
        <w:rPr>
          <w:rFonts w:hint="eastAsia" w:ascii="PingFang TC Regular" w:hAnsi="PingFang TC Regular" w:eastAsia="PingFang TC Regular" w:cs="PingFang TC Regular"/>
          <w:sz w:val="20"/>
          <w:szCs w:val="20"/>
          <w:lang w:eastAsia="zh-TW"/>
        </w:rPr>
        <w:t>，公元1-2</w:t>
      </w:r>
      <w:r>
        <w:rPr>
          <w:rFonts w:hint="eastAsia" w:ascii="PingFang TC Regular" w:hAnsi="PingFang TC Regular" w:eastAsia="PingFang TC Regular" w:cs="PingFang TC Regular"/>
          <w:sz w:val="20"/>
          <w:szCs w:val="20"/>
          <w:lang w:val="en-US" w:eastAsia="zh-TW"/>
        </w:rPr>
        <w:t>世紀</w:t>
      </w:r>
      <w:r>
        <w:rPr>
          <w:rFonts w:hint="eastAsia" w:ascii="PingFang TC Regular" w:hAnsi="PingFang TC Regular" w:eastAsia="PingFang TC Regular" w:cs="PingFang TC Regular"/>
          <w:sz w:val="20"/>
          <w:szCs w:val="20"/>
          <w:lang w:val="en-US" w:eastAsia="zh-CN"/>
        </w:rPr>
        <w:t>）</w:t>
      </w:r>
    </w:p>
    <w:p w14:paraId="65947EB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PingFang TC Regular" w:hAnsi="PingFang TC Regular" w:eastAsia="PingFang TC Regular" w:cs="PingFang TC Regular"/>
          <w:sz w:val="20"/>
          <w:szCs w:val="20"/>
          <w:lang w:val="en-US" w:eastAsia="zh-CN"/>
        </w:rPr>
      </w:pPr>
    </w:p>
    <w:p w14:paraId="12E58E4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PingFang TC Regular" w:hAnsi="PingFang TC Regular" w:eastAsia="PingFang TC Regular" w:cs="PingFang TC Regular"/>
          <w:sz w:val="20"/>
          <w:szCs w:val="20"/>
          <w:lang w:val="en-US" w:eastAsia="zh-CN"/>
        </w:rPr>
      </w:pPr>
    </w:p>
    <w:p w14:paraId="403C4466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古羅馬人早已理解現代研究證實的道理：當身心都被妥善照顧，智識與創作工作才能蓬勃發展。作為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藝術博士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候選人，優先照顧身心健康不是奢侈，而是維持創造力、專注力與認知敏銳度的必要條件。</w:t>
      </w:r>
    </w:p>
    <w:p w14:paraId="45D2539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val="en-US"/>
        </w:rPr>
      </w:pPr>
    </w:p>
    <w:p w14:paraId="2DDFA8B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val="en-US"/>
        </w:rPr>
      </w:pPr>
    </w:p>
    <w:p w14:paraId="0FBA8BC6">
      <w:pPr>
        <w:pStyle w:val="3"/>
        <w:keepNext w:val="0"/>
        <w:keepLines w:val="0"/>
        <w:widowControl w:val="0"/>
        <w:numPr>
          <w:ilvl w:val="0"/>
          <w:numId w:val="2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420" w:leftChars="0" w:right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  <w:t>照顧身心：全方位考慮</w:t>
      </w:r>
    </w:p>
    <w:p w14:paraId="19A18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心理健康：</w:t>
      </w:r>
    </w:p>
    <w:p w14:paraId="44E50DA3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博士研究常伴隨可預期的挑戰，尤其在高壓、自主度高的最後階段。</w:t>
      </w:r>
    </w:p>
    <w:p w14:paraId="3198B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35D2D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常見狀況：</w:t>
      </w:r>
    </w:p>
    <w:p w14:paraId="266C0F2D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before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冒名頂替感：即使取得了實在的成績，內心仍不時會冒出「我不配」的自我懷疑。心理學家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們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傾向於認為，這種感覺其實是你對自身抱有高期望、並正邁向實質性成長的信號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——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而非你能力欠缺。別獨自承受：不妨與夥伴或導師談談、留意並肯定自己的每一點進步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。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記住，這幾乎是所有從事深度創作的藝術家與研究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者的共同體驗。</w:t>
      </w:r>
    </w:p>
    <w:p w14:paraId="2DEDCACB">
      <w:pPr>
        <w:pStyle w:val="14"/>
        <w:keepNext w:val="0"/>
        <w:keepLines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焦慮：來自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各種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截止期限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壓力、不確定性或完美主義</w:t>
      </w:r>
    </w:p>
    <w:p w14:paraId="65F26143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孤獨感：獨立研究，特別是工作室創作，容易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讓人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感到孤立</w:t>
      </w:r>
    </w:p>
    <w:p w14:paraId="2BDDD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6BAA7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支援與身心健康資源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：</w:t>
      </w:r>
    </w:p>
    <w:p w14:paraId="6A229550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博士研究充滿挑戰，全程照顧心理情緒健康很重要。</w:t>
      </w:r>
    </w:p>
    <w:p w14:paraId="0569DF71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大多數院校為研究生提供一系列支援服務，通常包括：</w:t>
      </w:r>
    </w:p>
    <w:p w14:paraId="407AF1C3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輔導與健康服務：免費的個人或小組輔導，以及關於壓力管理、靜觀、抗逆力及工作生活平衡的講座</w:t>
      </w:r>
    </w:p>
    <w:p w14:paraId="766439D4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同伴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支援小組：博士生聚會、寫作小組，或由院系組織的支援網絡</w:t>
      </w:r>
    </w:p>
    <w:p w14:paraId="12CCDCED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支援熱線：24小時心理健康熱線（通常透過大學與外部服務機構的合作提供）</w:t>
      </w:r>
    </w:p>
    <w:p w14:paraId="6E3C8F9B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上資源：關於焦慮、睡眠、動機及管理學業壓力等主題的自助學習</w:t>
      </w:r>
    </w:p>
    <w:p w14:paraId="389C9A8A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Chars="0" w:right="0" w:right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746FF623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重要建議：如有需要，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請盡早尋求幫助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。尋求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幫助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是力量與良好自我覺察的表現，而非軟弱。妥善照顧個人身心健康，最終將對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的藝術創作與學術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推進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皆有益處。</w:t>
      </w:r>
    </w:p>
    <w:p w14:paraId="13F9C80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38FEB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身體健康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：</w:t>
      </w:r>
    </w:p>
    <w:p w14:paraId="5F93D940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身體的健康狀況直接影響創造力與認知表現。研究顯示，有規律的運動能提升專注力、改善情緒，並有益於智力測驗的表現。</w:t>
      </w:r>
    </w:p>
    <w:p w14:paraId="6043893B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均衡飲食：營養豐富的飲食（天然食物、充足蛋白質、健康脂肪、適量水分）有助穩定能量水平並支援大腦功能</w:t>
      </w:r>
    </w:p>
    <w:p w14:paraId="3F6D4027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輕量運動亦有效：即使多數日子僅進行20至30分鐘的步行、瑜伽或舉重，能顯著提升解決問題的能力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；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適度的有氧運動及力量訓練能增強神經可塑性、降低發炎反應，並提升執行功能</w:t>
      </w:r>
    </w:p>
    <w:p w14:paraId="27C4E21B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研究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表明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有計劃的運動平均可提升智商（IQ）達4分；為期12週、結合力量訓練與高強度間歇訓練的密集計劃，更能在流體智力（即藝術研究所需的靈活、發散性思維）上帶來高達19.5%的進步</w:t>
      </w:r>
    </w:p>
    <w:p w14:paraId="253574EA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48C806CD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工作室人體工學與安全：長時間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伏案工作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易造成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身體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勞損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，建議你使用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可調整支架、抗疲墊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人體工學椅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等工具來減少固定動作對身體的影響，並保證適度照明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。執行「20-20-20」眼部放鬆：望向 20 英尺</w:t>
      </w:r>
      <w:r>
        <w:rPr>
          <w:rStyle w:val="21"/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footnoteReference w:id="9"/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外約 20 秒。定時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拉伸，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避免重複性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勞動帶來的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勞損。處理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特殊材料時，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使用防護裝備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。</w:t>
      </w:r>
    </w:p>
    <w:p w14:paraId="6A8D60AA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1B24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睡眠的力量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：</w:t>
      </w:r>
    </w:p>
    <w:p w14:paraId="53C5EE5A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睡眠對於記憶鞏固、情緒調節和創造力至關重要——許多突破都在休息後發生。請以每晚7至9小時為目標。</w:t>
      </w:r>
    </w:p>
    <w:p w14:paraId="0BCE1EF4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72E217DA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健康睡眠策略：</w:t>
      </w:r>
    </w:p>
    <w:p w14:paraId="07E47FE2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規律作息：固定就寢與起床時間，假日也維持</w:t>
      </w:r>
    </w:p>
    <w:p w14:paraId="6C01268C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睡前儀式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：調暗燈光、避免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飽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餐、閱讀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紙質書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輕鬆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素描（避免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高強度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螢幕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工作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）</w:t>
      </w:r>
    </w:p>
    <w:p w14:paraId="5804B128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睡眠衛生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：下午後避免咖啡因、運動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安排在白天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、臥室保持涼爽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黑暗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安靜</w:t>
      </w:r>
    </w:p>
    <w:p w14:paraId="7B128F4A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控制螢幕與社群媒體：藍光抑制褪黑激素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過度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刷屏也會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加劇焦慮。睡前1小時嚴格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控制手機使用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，開啟夜間模式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請勿打擾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模式，為自己打造平靜的心境</w:t>
      </w:r>
    </w:p>
    <w:p w14:paraId="32940748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52C11582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這些習慣都是對研究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的潛在輔助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。當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身心獲得滋養，創作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便可能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更順暢、反思更深刻，最後階段也能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持續獲得動力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。請像重視創作一樣嚴謹地照顧自己。</w:t>
      </w:r>
    </w:p>
    <w:p w14:paraId="3729974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</w:rPr>
      </w:pPr>
    </w:p>
    <w:p w14:paraId="020468D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</w:rPr>
      </w:pPr>
    </w:p>
    <w:p w14:paraId="3D803880">
      <w:pPr>
        <w:pStyle w:val="3"/>
        <w:keepNext w:val="0"/>
        <w:keepLines w:val="0"/>
        <w:widowControl w:val="0"/>
        <w:numPr>
          <w:ilvl w:val="0"/>
          <w:numId w:val="2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420" w:leftChars="0" w:right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博士之後：</w:t>
      </w: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  <w:t>研究型藝術家</w:t>
      </w: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的未來</w:t>
      </w:r>
    </w:p>
    <w:p w14:paraId="48D8D4C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藝術博士不是終點，而是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成為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長期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藝術研究者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之前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的嚴謹訓練。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在這個過程中你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磨練的技能將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成為終身職業的工具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。</w:t>
      </w:r>
    </w:p>
    <w:p w14:paraId="37CC09DA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1F2329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978152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發表研究成果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：</w:t>
      </w:r>
    </w:p>
    <w:p w14:paraId="2D6CF7BE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發表能將博士研究轉為公共知識，並建立個人學術形象。無論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藝術博士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是否強制發表，強烈建議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在學程中或畢業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不久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後準備投稿。選擇期刊如同為作品挑選畫廊：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匹配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度最重要。期刊有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各自的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「風格」、編輯取向與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受眾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</w:t>
      </w:r>
    </w:p>
    <w:p w14:paraId="09A03164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3D5A4832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花時間瀏覽目標期刊近期內容，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想想你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文章可以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如何調整後最能引起共鳴。與指導教授討論選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項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，他們可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就期刊匹配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度、共同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署名的可能性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期刊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專題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提供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建議。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爭取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在答辯前後至少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嘗試完成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一次投稿。</w:t>
      </w:r>
    </w:p>
    <w:p w14:paraId="1EF4BC1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4"/>
          <w:szCs w:val="24"/>
          <w:lang w:val="en-US"/>
        </w:rPr>
      </w:pPr>
    </w:p>
    <w:p w14:paraId="7F75F79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4"/>
          <w:szCs w:val="24"/>
          <w:lang w:val="en-US"/>
        </w:rPr>
      </w:pPr>
    </w:p>
    <w:p w14:paraId="70DF90E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藝術研究者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潛在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發表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渠道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（特別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適合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當代美術、生成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式藝術、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數位媒體、材質、跨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學科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實踐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等話題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）：</w:t>
      </w:r>
    </w:p>
    <w:p w14:paraId="2E39218F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Leonardo（MIT Press）：藝術、科學與科技；適用AI、生成式或跨學科實踐</w:t>
      </w:r>
    </w:p>
    <w:p w14:paraId="68018A5C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Journal of Artistic Research（JAR）：開放獲取、實踐導向；以「闡述」格式（Exposition, 文本＋視覺材料／文檔）</w:t>
      </w:r>
      <w:r>
        <w:rPr>
          <w:rStyle w:val="21"/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footnoteReference w:id="10"/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投稿</w:t>
      </w:r>
    </w:p>
    <w:p w14:paraId="1FF31FF6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Art Journal（College Art Association）：當代藝術實踐的批判性反思</w:t>
      </w:r>
    </w:p>
    <w:p w14:paraId="157B1647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Studies in Art Education／International Journal for Education Through Art：若作品涉及教育學／社區議題</w:t>
      </w:r>
    </w:p>
    <w:p w14:paraId="792C5AAC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Performance Research／Visual Studies：適用行為藝術、視覺或符號學研究</w:t>
      </w:r>
    </w:p>
    <w:p w14:paraId="5DBFFE24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區域／亞太選項：Taiwan: A Radical Journal of Geography（藝術專欄）及相關區域期刊</w:t>
      </w:r>
    </w:p>
    <w:p w14:paraId="0D2942C4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Chars="0" w:right="0" w:right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</w:p>
    <w:p w14:paraId="6B388376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從小處著手：改寫一篇內容扎實的論文論述章節或批判性反思論文。與指導教授討論選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項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，他們可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就期刊匹配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度、共同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署名的可能性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期刊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專題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提供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建議。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爭取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在答辯前後至少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嘗試完成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一次投稿。</w:t>
      </w:r>
    </w:p>
    <w:p w14:paraId="24FB8A03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28882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參加學術會議：</w:t>
      </w:r>
    </w:p>
    <w:p w14:paraId="0C2BFF82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學術會議可能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帶來寶貴的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社交機會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反饋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曝光機會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。發表作品（論文、藝術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講座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、座談、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行為藝術/演出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）建立自信與人際網絡。</w:t>
      </w:r>
    </w:p>
    <w:p w14:paraId="7055E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D40D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相關研討會：</w:t>
      </w:r>
    </w:p>
    <w:p w14:paraId="5274DC60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International Society for Electronic Arts (ISEA)：適用AI／數位／生成藝術</w:t>
      </w:r>
    </w:p>
    <w:p w14:paraId="45D6039C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College Art Association (CAA) 年會：適用當代藝術廣泛議題</w:t>
      </w:r>
    </w:p>
    <w:p w14:paraId="161E10FC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Association for Art History (AAH) 或 European Society for Aesthetics：理論與實踐的交叉</w:t>
      </w:r>
    </w:p>
    <w:p w14:paraId="67DD6D31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4E518373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準備精簡摘要（200–300 字），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你的實踐與廣泛議題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聯繫起來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。練習（15–20 分鐘）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時錄像紀錄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盡早爭取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經費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支持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，提前 6–12 個月規劃以配合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院系的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預算周期。</w:t>
      </w:r>
    </w:p>
    <w:p w14:paraId="427FA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15BF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職業發展：</w:t>
      </w:r>
    </w:p>
    <w:p w14:paraId="1538D057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許多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藝術博士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畢業生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都走雙重路徑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：</w:t>
      </w:r>
    </w:p>
    <w:p w14:paraId="7A41F334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學術界：教職（講師／助理教授），需具備論文、學術會議、教學作品集等經歷。可從兼職講師、客座活動、助教開始</w:t>
      </w:r>
    </w:p>
    <w:p w14:paraId="1ED76AD4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藝術界：畫廊代理、駐留計劃、雙年展、公共委託、策展、藝術家自營空間等。建立專業作品集／個人網站、通過展覽／學術會議等機會累積人脈、申請資助</w:t>
      </w:r>
    </w:p>
    <w:p w14:paraId="2122C398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Chars="0" w:right="0" w:right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184F8B6A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Chars="0" w:right="0" w:right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混合職涯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非常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常見：許多藝術研究者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在教學的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同時持續創作、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寫作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或策展。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請及時記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和更新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所有成果：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簡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歷、藝術家自述、高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質量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圖像、發表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經歷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、展覽經歷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等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</w:t>
      </w:r>
    </w:p>
    <w:p w14:paraId="27A07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589AC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終身旅程：</w:t>
      </w:r>
    </w:p>
    <w:p w14:paraId="58F6BCFA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藝術博士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是持續自我教育的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過程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。保持好奇心：實驗、閱讀、展覽、發表、合作、教學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反思。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的實踐會持續演進，新的問題、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媒介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語境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會不斷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湧現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。以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同樣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的嚴謹與熱情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去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擁抱這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一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終身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旅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程。</w:t>
      </w:r>
    </w:p>
    <w:p w14:paraId="629457B6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3E99614C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現在已是全球藝術研究者社群的一員。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請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同僚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、導師、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學校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（包括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澳門大學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校友）保持聯繫。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的貢獻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——無論是通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過作品、書寫、教學或對話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——都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將持續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塑造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這個領域。恭喜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走到這裡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未來由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定義。</w:t>
      </w:r>
    </w:p>
    <w:p w14:paraId="10F5982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6DE8A23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65FD0A0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  <w:lang w:eastAsia="zh-TW"/>
        </w:rPr>
      </w:pPr>
    </w:p>
    <w:p w14:paraId="3DCB08A1">
      <w:pPr>
        <w:pStyle w:val="2"/>
        <w:keepNext w:val="0"/>
        <w:keepLines w:val="0"/>
        <w:pageBreakBefore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textAlignment w:val="auto"/>
        <w:rPr>
          <w:rFonts w:hint="eastAsia" w:ascii="PingFang TC Regular" w:hAnsi="PingFang TC Regular" w:eastAsia="PingFang TC Regular" w:cs="PingFang TC Regular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b/>
          <w:bCs/>
          <w:color w:val="auto"/>
          <w:kern w:val="2"/>
          <w:sz w:val="32"/>
          <w:szCs w:val="32"/>
          <w:u w:val="single"/>
          <w:lang w:val="en-US" w:eastAsia="zh-CN" w:bidi="ar-SA"/>
          <w14:ligatures w14:val="standardContextual"/>
        </w:rPr>
        <w:t>附錄</w:t>
      </w:r>
    </w:p>
    <w:p w14:paraId="32C38784">
      <w:pPr>
        <w:pStyle w:val="2"/>
        <w:keepNext w:val="0"/>
        <w:keepLines w:val="0"/>
        <w:widowControl w:val="0"/>
        <w:numPr>
          <w:ilvl w:val="0"/>
          <w:numId w:val="2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420" w:leftChars="0" w:right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典型</w:t>
      </w: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  <w:t>藝術博士</w:t>
      </w: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論文架構（書寫部分）</w:t>
      </w:r>
    </w:p>
    <w:p w14:paraId="7041FD9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請與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導師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調整此大綱；架構依研究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計劃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（前述整合式／平行式）而異。</w:t>
      </w:r>
    </w:p>
    <w:p w14:paraId="406E8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375AC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前置資料</w:t>
      </w:r>
    </w:p>
    <w:p w14:paraId="2444ADAE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標題頁（含學位名稱、姓名、指導教授、提交日期）</w:t>
      </w:r>
    </w:p>
    <w:p w14:paraId="7FBEB317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原創性聲明（遵循所在大學規定格式）</w:t>
      </w:r>
    </w:p>
    <w:p w14:paraId="5F7084E9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摘要（200–300 字：摘要研究問題、實踐、核心發現與貢獻）</w:t>
      </w:r>
    </w:p>
    <w:p w14:paraId="604AC100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致謝（感謝指導教授、同行、經費來源等）</w:t>
      </w:r>
    </w:p>
    <w:p w14:paraId="000F6EFF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目錄</w:t>
      </w:r>
    </w:p>
    <w:p w14:paraId="5BEDC9C8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圖表/表格/圖錄等（視覺材料必備）</w:t>
      </w:r>
    </w:p>
    <w:p w14:paraId="3621D320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縮寫列表（若有需要）</w:t>
      </w:r>
    </w:p>
    <w:p w14:paraId="5FA0A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098D1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緒論（1,000–3,000 字）</w:t>
      </w:r>
    </w:p>
    <w:p w14:paraId="4FA18C9E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介紹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的藝術實踐與研究問題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/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議題</w:t>
      </w:r>
    </w:p>
    <w:p w14:paraId="22361595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說明研究動機、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語境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與意義（在當代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藝術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中的重要性）</w:t>
      </w:r>
    </w:p>
    <w:p w14:paraId="31754CCE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概述論文整體架構，以及實踐（展覽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/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作品）與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書面部分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的共生關係</w:t>
      </w:r>
    </w:p>
    <w:p w14:paraId="357FF59F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最後以章節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介紹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收尾</w:t>
      </w:r>
    </w:p>
    <w:p w14:paraId="072C8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</w:p>
    <w:p w14:paraId="22F47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文獻回顧/語境綜述（4,000–8,000 字）</w:t>
      </w:r>
    </w:p>
    <w:p w14:paraId="799D64AF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的實踐置於相關藝術史、理論與當代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話語之中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（如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物質性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數字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、去殖民、AI創作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等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）</w:t>
      </w:r>
    </w:p>
    <w:p w14:paraId="2E5F6814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回顧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重要藝術家、展覽、理論（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引用非傳統印刷物资源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：展覽冊、藝術家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寫作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行為藝術/演出等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）</w:t>
      </w:r>
    </w:p>
    <w:p w14:paraId="4B0EB641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指出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的作品所回應的研究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空白</w:t>
      </w:r>
    </w:p>
    <w:p w14:paraId="5B5D4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061C6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研究方法／方法論架構（3,000–6,000 字）</w:t>
      </w:r>
    </w:p>
    <w:p w14:paraId="4C62EBE4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描述你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的實踐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主導方法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：創作如何產生知識</w:t>
      </w:r>
    </w:p>
    <w:p w14:paraId="1E2A4D33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詳述過程、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材料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階段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記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錄方法（照片、影片、日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）</w:t>
      </w:r>
    </w:p>
    <w:p w14:paraId="3C343320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解釋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反思／反身方法（如工作室筆記、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反覆的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批判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性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反思）</w:t>
      </w:r>
    </w:p>
    <w:p w14:paraId="7C7F40A8">
      <w:pPr>
        <w:pStyle w:val="2"/>
        <w:keepNext w:val="0"/>
        <w:keepLines w:val="0"/>
        <w:widowControl/>
        <w:suppressLineNumbers w:val="0"/>
        <w:shd w:val="clear" w:fill="FFFFFF"/>
        <w:spacing w:before="100" w:beforeAutospacing="0" w:after="600" w:afterAutospacing="0" w:line="23" w:lineRule="atLeast"/>
        <w:ind w:left="0" w:firstLine="0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若涉及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人員參與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，說明倫理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問題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（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具體參考你所在的大學的倫理規範）</w:t>
      </w:r>
    </w:p>
    <w:p w14:paraId="13388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文章主體／對實踐的批判性反思（核心，8,000–15,000 字；常分多章）</w:t>
      </w:r>
    </w:p>
    <w:p w14:paraId="7BD9AAA7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敘述核心作品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或項目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：描述過程、決策、驚喜、失敗</w:t>
      </w:r>
    </w:p>
    <w:p w14:paraId="5F7C3B71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批判分析實踐如何體現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探討研究問題</w:t>
      </w:r>
    </w:p>
    <w:p w14:paraId="14480EBB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整合高品質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視覺材料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（圖表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/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圖版）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，配以注釋或正文引用</w:t>
      </w:r>
    </w:p>
    <w:p w14:paraId="524F4336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討論理論意涵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及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對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研究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領域的貢獻（如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新的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視覺探究方法、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對物質性或時間的洞見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）</w:t>
      </w:r>
    </w:p>
    <w:p w14:paraId="3C8D2D62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可分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章節：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按項目或系列劃分，或按主題劃分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（如「迭代與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物質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性」「AI生成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筆觸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」）</w:t>
      </w:r>
    </w:p>
    <w:p w14:paraId="7B34D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6D17B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結論（2,000–4,000字）</w:t>
      </w:r>
    </w:p>
    <w:p w14:paraId="64D2476C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總結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研究發現與貢獻</w:t>
      </w:r>
    </w:p>
    <w:p w14:paraId="3663828D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反思研究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局限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與未來方向（如博士後實踐）</w:t>
      </w:r>
    </w:p>
    <w:p w14:paraId="0FB99712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重申整體成果：創作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與論述的配合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如何達到博士水準</w:t>
      </w:r>
    </w:p>
    <w:p w14:paraId="270CC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97BC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引用文獻／參考書目</w:t>
      </w:r>
    </w:p>
    <w:p w14:paraId="3682D3BD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完整清單（建議藝術／人文領域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引用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使用芝加哥格式）</w:t>
      </w:r>
    </w:p>
    <w:p w14:paraId="342E5505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2E940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附錄（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如有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）</w:t>
      </w:r>
    </w:p>
    <w:p w14:paraId="06893E20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完整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記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錄（過程照片、時間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線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、訪談逐字稿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等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）</w:t>
      </w:r>
    </w:p>
    <w:p w14:paraId="3DCD0E97">
      <w:pPr>
        <w:keepNext w:val="0"/>
        <w:keepLines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0" w:leftChars="0" w:right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其他材料（如展覽冊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的節選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）</w:t>
      </w:r>
    </w:p>
    <w:p w14:paraId="1F5F5FC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</w:rPr>
      </w:pPr>
    </w:p>
    <w:p w14:paraId="7D46E86E">
      <w:pPr>
        <w:keepNext w:val="0"/>
        <w:keepLines w:val="0"/>
        <w:widowControl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  <w:t>術語表</w:t>
      </w:r>
    </w:p>
    <w:p w14:paraId="32184651">
      <w:pPr>
        <w:keepNext w:val="0"/>
        <w:keepLines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本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術語表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指南與實踐型研究常用關鍵字。依字母排序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特定用法請參閱文中對應章節。</w:t>
      </w:r>
    </w:p>
    <w:p w14:paraId="749C264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2"/>
          <w:szCs w:val="22"/>
          <w:lang w:val="en-US" w:eastAsia="zh-TW" w:bidi="ar-SA"/>
          <w14:ligatures w14:val="standardContextual"/>
        </w:rPr>
      </w:pPr>
    </w:p>
    <w:p w14:paraId="0F46DEB7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Artifact（作品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/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人工製品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/產出成果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：在研究語境中，指研究過程中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產出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的任何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物件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成果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。在實踐型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藝術博士學習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中，artifact指藝術作品、裝置、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行為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或其他創意輸出，與書面部分共同構成主要研究證據。</w:t>
      </w:r>
    </w:p>
    <w:p w14:paraId="1AAB77C5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Artistic Research（藝術研究）：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以藝術實踐作為探究與知識生產核心方法的研究範式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又稱實踐型研究或實踐導向研究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創作過程產生無法僅以文字完整表達的洞見。</w:t>
      </w:r>
    </w:p>
    <w:p w14:paraId="172980CE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Artist-Researcher（藝術家－研究者）</w:t>
      </w:r>
      <w:r>
        <w:rPr>
          <w:rFonts w:hint="eastAsia" w:ascii="PingFang TC Semibold" w:hAnsi="PingFang TC Semibold" w:eastAsia="PingFang TC Semibold" w:cs="PingFang TC Semibold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以自身藝術實踐作為主要研究方式的藝術工作者。其首要身份為藝術家，透過創作、實驗與反思自身作品產生新知識。不同於從外部研究藝術的研究者，也不同於僅將藝術方法作為工具使用的人。</w:t>
      </w:r>
    </w:p>
    <w:p w14:paraId="56207D28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Bibliography（參考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書目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無論是否在論文中直接引用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原文，都需要把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研究過程中查閱的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所有引用來源整理在一個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完整清單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里，以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展現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學術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研究的完整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範圍。在實踐型研究中，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此項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常包括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引用非傳統印刷物资源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，如展覽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冊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、藝術家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寫作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演出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影像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。在實踐型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藝術博士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中，Bibliography比References更廣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 xml:space="preserve"> 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(Bibliography是你研究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過程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中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看過的內容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，Reference是你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引用到文章裡的內容）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，體現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智識與藝術探究的廣度。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見：Reference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s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。</w:t>
      </w:r>
    </w:p>
    <w:p w14:paraId="7752AAE7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Case Study（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案例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研究）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：對特定實例、範例或項目的深入考察，以闡釋更廣泛的原則或方法。在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藝術博士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語境中，可能分析特定藝術作品、展覽或其他學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研究者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的探究路徑。</w:t>
      </w:r>
    </w:p>
    <w:p w14:paraId="1E5F0D5E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Chicago Manual of Style（芝加哥格式手冊）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：廣泛應用於藝術史與人文研究領域的引文格式體系，其註腳－參考書目格式尤其適用於藝術作品、展覽與視覺資料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引用。</w:t>
      </w:r>
    </w:p>
    <w:p w14:paraId="3EE0367C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Citation（引文）：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對研究中所使用來源的正式標註，用於標示原創者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便於讀者查閱資料來源，為維護學術誠信與體現學術參與度之必要做法。</w:t>
      </w:r>
    </w:p>
    <w:p w14:paraId="69811024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Co-supervisor（共同指導教授）：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因應跨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學科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需求或專業知識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互補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而設置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指導教授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（副導師）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，協助主要指導教授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（主導師）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推動研究；各校關於共同指導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設置的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規範不同，通常須經主要指導教授、共同指導教授與學生三方同意。</w:t>
      </w:r>
    </w:p>
    <w:p w14:paraId="4B0AC212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Contribution (Original Contribution to Knowledge)（原創知識貢獻）：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研究為所屬領域帶來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獨特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、全新的觀點與認知；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在藝術博士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中，此貢獻來自創作成果本身，以及對作品在藝術、感知、文化等層面所揭示內涵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批判性反思。</w:t>
      </w:r>
    </w:p>
    <w:p w14:paraId="7B610F31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Critical Reflection（批判性反思）：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對自身創作實踐、過程與成果所進行的系統性分析，不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只是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描述，更探究其預設前提、揭示隱性知識，並將實踐與更廣泛的理論或文化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語境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相連結。</w:t>
      </w:r>
    </w:p>
    <w:p w14:paraId="0E0C7007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Doctoral Candidate（博士候選人）：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通過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開題答辯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（TPA）或同等考核後取得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的身份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，代表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候選人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已完成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較爲完善的研究計劃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，具備獨立研究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完成最終論文與答辯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正式資格。</w:t>
      </w:r>
    </w:p>
    <w:p w14:paraId="3A46EB63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Doctoral Student（博士生）：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處於藝術博士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 xml:space="preserve"> 學程但尚未通過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開題答辯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（TPA）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學生，此階段須完成必修課程與預備性資格考試，並逐步確立正式研究方向。</w:t>
      </w:r>
    </w:p>
    <w:p w14:paraId="212E5D92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Documentation（研究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記錄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：對創作過程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系統性記錄，包含照片、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影像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、草圖、筆記、材料測試與迭代版本，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是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證明實踐型研究嚴謹性、支撐論文論述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核心證據。</w:t>
      </w:r>
    </w:p>
    <w:p w14:paraId="44926557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Embodied Knowledge（具身知識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/親歷的/親身行動的知識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透過身體與實際行動體驗獲得的、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而非僅來自抽象思考或文字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的知識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。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是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實踐型研究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過程中通過製作與材料的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互動產生理解的核心。</w:t>
      </w:r>
    </w:p>
    <w:p w14:paraId="3BD544EA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Epistemology（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認識論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）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對知識的哲學研究，探討何謂知識、如何獲取知識，以及知識有效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的條件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。以實踐為基礎的研究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過將藝術實踐定位為一種正當的知識生產模式，從而對傳統認識論提出挑戰。</w:t>
      </w:r>
    </w:p>
    <w:p w14:paraId="6547AFCA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Ethics/Ethical Approval（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倫理／倫理審查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）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確保研究尊重參與者權利、尊嚴與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身心健康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的原則與程序。在涉及人類受試者（訪談、參與式研究）時必須遵守。通常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大學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都有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倫理準則規範。</w:t>
      </w:r>
    </w:p>
    <w:p w14:paraId="775E7CFF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Exhibition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（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展覽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藝術博士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的框架下，指構成博士論文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的核心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作品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公開展示。形式可以是實體、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電子版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或混合型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體現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以實踐為基礎的研究成果。</w:t>
      </w:r>
    </w:p>
    <w:p w14:paraId="30222E75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External Examiner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（校外評審）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：來自校外的獨立專家，負責評審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的論文及答辯。提供客觀的評估，並確保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的研究成果符合該領域的國際博士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水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準。</w:t>
      </w:r>
    </w:p>
    <w:p w14:paraId="6C39AEC3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Feasibility（可行性）：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研究在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藝術博士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四年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學程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與既有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可用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資源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範圍內，是否具有實際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執行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可能性，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一個可行的計劃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須具備明確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範圍、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可控的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規模，並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能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妥善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應對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潛在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困難。</w:t>
      </w:r>
    </w:p>
    <w:p w14:paraId="67B283A7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Generative AI（生成式人工智慧）：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可生成文字、圖像或其他成果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人工智慧系統（如 ChatGPT、Midjourney、Stable Diffusion）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。在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當代藝術實踐中應用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漸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廣，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但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學術使用須符合倫理規範並正確標註來源。</w:t>
      </w:r>
    </w:p>
    <w:p w14:paraId="104911FD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Informed Consent（知情同意）</w:t>
      </w:r>
      <w:r>
        <w:rPr>
          <w:rFonts w:hint="eastAsia" w:ascii="PingFang TC Regular" w:hAnsi="PingFang TC Regular" w:eastAsia="PingFang TC Regular" w:cs="PingFang TC Regular"/>
          <w:b/>
          <w:bCs/>
          <w:kern w:val="2"/>
          <w:sz w:val="24"/>
          <w:szCs w:val="24"/>
          <w:lang w:val="en-US" w:eastAsia="zh-TW" w:bidi="ar-SA"/>
          <w14:ligatures w14:val="standardContextual"/>
        </w:rPr>
        <w:t>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</w:rPr>
        <w:t>一項倫理要求，即研究參與者必須在同意參與前，充分理解研究的宗旨、方法、風險及益處。此同意必須有書面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記錄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</w:rPr>
        <w:t>，特別是針對訪談或合</w:t>
      </w:r>
    </w:p>
    <w:p w14:paraId="32D662F7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Interdisciplinary（跨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學科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整合來自多個學術領域的方法、概念或框架。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zh-TW"/>
        </w:rPr>
        <w:t>藝術博士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 xml:space="preserve"> 研究常將純藝術與哲學、科學、科技、文學、人類學或其他學科相互連結。</w:t>
      </w:r>
    </w:p>
    <w:p w14:paraId="2CF5D0AC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Iteration（迭代）：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反覆進行創作、測試、反思與精進的循環過程。此為實踐型研究的核心，知識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通過逐步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實驗逐步浮現。</w:t>
      </w:r>
    </w:p>
    <w:p w14:paraId="57066B87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zh-TW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Literature Review（文獻回顧）：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針對與研究問題相關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既有學術成果進行全面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梳理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與批判性分析。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在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實踐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導向的藝術博士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中，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這應同時涵蓋書面文本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zh-TW"/>
        </w:rPr>
        <w:t>、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視覺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材料或其他實體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先例（藝術作品、展覽、實踐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zh-TW"/>
        </w:rPr>
        <w:t>。</w:t>
      </w:r>
    </w:p>
    <w:p w14:paraId="72E0F410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Materiality（物質性）：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材料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物理屬性與特質（質感、重量、透光性等），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以及這些特性如何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塑造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意義、體驗或美學效果。這通常是實踐導向研究的重點。</w:t>
      </w:r>
    </w:p>
    <w:p w14:paraId="0AB4D487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Methodology / Methodological Framework（方法論）：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用以進行研究的系統化途徑或方法集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合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在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實踐型博士中，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這體現了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zh-TW"/>
        </w:rPr>
        <w:t>你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的藝術實踐如何作為研究運作——具體的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實驗過程、技法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與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反覆的反思和製作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。</w:t>
      </w:r>
    </w:p>
    <w:p w14:paraId="2C24048D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Mock Defense（模擬答辯）：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論文答辯的預演，通常在正式答辯前6至8週進行。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用於練習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陳述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內容、測試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對提問的回應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，並強化需改進之處。</w:t>
      </w:r>
    </w:p>
    <w:p w14:paraId="4F71C22D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Multimodal（多模態）：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運用多種溝通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或表達形式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（文字、圖像、聲音、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行為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等），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  <w:t>實踐導向研究本質上即為多模態，結合創意產出與書面分析。</w:t>
      </w:r>
    </w:p>
    <w:p w14:paraId="65737F42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Originality（原創性）：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指新穎、獨特或具創新性的特質。博士研究必須展現原創性，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你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的研究應提出嶄新的見解、創新的方法，或建立新的關聯性，以推動當代美術領域的發展。</w:t>
      </w:r>
    </w:p>
    <w:p w14:paraId="0838DC99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Phenomenology（現象學）：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一種哲學方法論，著重於生活中的主觀經驗與具身感知。對於探討藝術作品如何被體驗，或創作如何形塑理解的實踐型研究而言，尤為相關。</w:t>
      </w:r>
    </w:p>
    <w:p w14:paraId="260BCB52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Practice-Based Research（實踐型研究）：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一種以創作實踐本身（藝術創作、實驗及對自身作品的反思）作為主要探究方法的博士研究。新知識透過創作行為產生，藝術作品則是該研究貢獻的核心證據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亦稱為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實踐導向研究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」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或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藝術研究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」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。</w:t>
      </w:r>
    </w:p>
    <w:p w14:paraId="6F5DA5AE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Practice-Led Research（實踐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主導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研究）：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指藝術實踐引導探究方向的研究。問題、構想與發現首先源自創作與工作室實驗，其後再透過理論與反思加以深化與闡述。實際上，在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藝術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博士學位中，「實踐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型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」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（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Practice-Based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與「實踐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主導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」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（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Practice-Led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常被互換使用。兩者主要差異在於，「實踐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主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導」稍更強調實踐從一開始便積極引導並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塑造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研究問題。</w:t>
      </w:r>
    </w:p>
    <w:p w14:paraId="3E5F80B4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zh-CN" w:eastAsia="ja-JP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Principal Supervisor（主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導師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負責指導研究、提供回饋與掌握整體進度的主要學術顧問，為學術訓練、創作實踐、論文撰寫、展覽規畫（如適用）與學位完成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核心指導者。</w:t>
      </w:r>
    </w:p>
    <w:p w14:paraId="594C7D1E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Proposal / Research Proposal（研究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計劃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自二年級資格考試（QE）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的初步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版本逐步完善為三年級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開題答辯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（TPA）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正式學術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計劃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，最終版本通常 3,000至 5,000 字，並附有視覺資料，為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藝術博士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後續研究確定路徑。</w:t>
      </w:r>
    </w:p>
    <w:p w14:paraId="78B63E25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Qualitative Research（質性研究）：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旨在透過非數值資料（訪談、觀察、文本分析）來理解意義、經驗與脈絡的研究。常見於實踐導向研究及人文學科。</w:t>
      </w:r>
    </w:p>
    <w:p w14:paraId="6F5F637A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Qualifying Examination (QE)（資格考試）：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2"/>
          <w:sz w:val="24"/>
          <w:szCs w:val="24"/>
          <w:lang w:val="en-US" w:eastAsia="zh-CN" w:bidi="ar-SA"/>
          <w14:ligatures w14:val="standardContextual"/>
        </w:rPr>
        <w:t>通常於第二學年接近尾聲時舉行的「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2"/>
          <w:sz w:val="24"/>
          <w:szCs w:val="24"/>
          <w:lang w:val="en-US" w:eastAsia="zh-TW" w:bidi="ar-SA"/>
          <w14:ligatures w14:val="standardContextual"/>
        </w:rPr>
        <w:t>預開題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2"/>
          <w:sz w:val="24"/>
          <w:szCs w:val="24"/>
          <w:lang w:val="en-US" w:eastAsia="zh-CN" w:bidi="ar-SA"/>
          <w14:ligatures w14:val="standardContextual"/>
        </w:rPr>
        <w:t>答辯」。此考試旨在評估實踐導向研究路徑及進行獨立研究的準備程度，但尚未授予博士候選人資格。</w:t>
      </w:r>
    </w:p>
    <w:p w14:paraId="41FEE228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References（引用文獻）</w:t>
      </w:r>
      <w:r>
        <w:rPr>
          <w:rStyle w:val="21"/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footnoteReference w:id="11"/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僅收錄論文中直接引用、引述或明確提及之資料來源清單，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</w:rPr>
        <w:t>用於精確記錄直接支持論點與主張的來源。實踐導向的博士學位中，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引用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</w:rPr>
        <w:t>文獻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eastAsia="zh-TW"/>
        </w:rPr>
        <w:t>（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References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</w:rPr>
        <w:t>應為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參考文獻（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Bibliography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</w:rPr>
        <w:t>的子集，即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引用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</w:rPr>
        <w:t>文獻中的每一項都必須出現在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參考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</w:rPr>
        <w:t>中，反之則不成立。此清單可讓評審委員核實引用內容並追溯具體的學術論點。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參見：Bibliography。</w:t>
      </w:r>
    </w:p>
    <w:p w14:paraId="59754C45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Research Journal / Studio Notebook（研究日誌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/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工作室筆記）：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一個專用的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記錄「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空間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」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（紙本、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TW"/>
        </w:rPr>
        <w:t>電子版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或混合形式），用於記錄創作過程、捕捉靈感、反思創作、追蹤閱讀內容，並描繪研究探索的演變軌跡。這是實踐型研究的必備工具。</w:t>
      </w:r>
    </w:p>
    <w:p w14:paraId="41B4BDD8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Research Question（研究問題）：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引導博士研究方向的核心問題。在實踐型研究中，問題源自藝術創作本身，且必須透過持續創作方能解答，無法僅憑文字或理論完成。</w:t>
      </w:r>
    </w:p>
    <w:p w14:paraId="7EA8F3BF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Rigor / Rigorous（嚴謹性）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指具備周詳、系統化且方法論上紮實的特質。實踐型研究透過持續的紀錄、自我批判性反思、與理論的對話，以及透明的方法論來展現其嚴謹性。</w:t>
      </w:r>
    </w:p>
    <w:p w14:paraId="6DD0D822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Scope（研究範圍）：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指研究計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劃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的邊界與規模，包括將涵蓋與排除的內容、預計產出的作品數量，以及涵蓋的時間範圍等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適當界定範圍可確保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計劃在藝術博士課程的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標準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學制時間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內順利完成。</w:t>
      </w:r>
    </w:p>
    <w:p w14:paraId="0A5AD91B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Semiotics（符號學）：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對記號、符號及意義建構的探討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，是實用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的分析框架，用以檢視藝術作品中的視覺元素如何傳達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信息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或建構文化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符號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。</w:t>
      </w:r>
    </w:p>
    <w:p w14:paraId="4627CCB0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Site-Specific（特定場域）：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針對特定物理、文化或歷史地點所創作的藝術作品或研究。該場域成為作品意義不可或缺的一部分，且無法與之分離。</w:t>
      </w:r>
    </w:p>
    <w:p w14:paraId="4798F34E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Studio Practice（工作室實踐）：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指在工作室或其他工作空間中進行藝術創作的實作性、創造性工作。在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藝術博士語境中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，工作室實踐並非與研究分離，它本身即是研究。</w:t>
      </w:r>
    </w:p>
    <w:p w14:paraId="034B4FC6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Symbiotic Relationship（共生關係）：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在藝術博士語境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中，指創作成果（展覽）與書面論文相互依存關係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兩者缺一不可，共同構成完整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博士學位研究成果。</w:t>
      </w:r>
    </w:p>
    <w:p w14:paraId="568FBA5B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Thesis（論文）：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在藝術博士語境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 xml:space="preserve"> 中，論文通常由創作成果（藝術作品、展覽或表演）與輔助性書面部分結合而成。字數依各校規定而異，一般介於 20,000–40,000 字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書面部分須符合博士級別的嚴謹標準，負責將實踐脈絡化、分析並進行批判性反思。</w:t>
      </w:r>
    </w:p>
    <w:p w14:paraId="6EF40526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Thesis Defense / Viva Voce / Oral Examination（論文答辯）：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這是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最終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學位考試（通常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為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 xml:space="preserve"> 60–120 分鐘）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。你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需在此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環節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展示研究成果，並回應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評審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的提問。此環節將對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的創作成果與書面論文進行整體性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評估。</w:t>
      </w:r>
    </w:p>
    <w:p w14:paraId="0C735147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Thesis Proposal Assessment (TPA)（論文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開題答辯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通常安排在第三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學年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的正式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論文提案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答辯。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這個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階段要求提交一份全面的學術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計劃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，亦是從博士生轉為博士候選人身份的正式轉折點。</w:t>
      </w:r>
    </w:p>
    <w:p w14:paraId="775D97C9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Transcription（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文字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轉寫）：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音頻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視頻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內容（例如訪談）轉化為書面文字以供分析的過程。可採逐字逐句（逐字轉錄）或主題式（捕捉關鍵概念）的方式進行。</w:t>
      </w:r>
    </w:p>
    <w:p w14:paraId="0D388C74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Transparency（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公開透明</w:t>
      </w: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在涉及人類受試者的研究中，透明意味著從一開始就對受試者保持開放與誠實的態度。這要求清楚說明研究的目的、參與內容、任何潛在的風險或益處、其資料或影像將如何被使用，以及受試者隨時有權退出研究的權利。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公開透明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是取得知情同意及進行符合倫理的研究的基礎。</w:t>
      </w:r>
    </w:p>
    <w:p w14:paraId="5DDA1F29">
      <w:pPr>
        <w:keepNext w:val="0"/>
        <w:keepLines w:val="0"/>
        <w:widowControl w:val="0"/>
        <w:numPr>
          <w:ilvl w:val="0"/>
          <w:numId w:val="2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Visual Methodology（視覺研究方法）：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將視覺材料（圖像、藝術作品、圖表、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影像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）作為主要數據或證據加以運用或分析的研究方法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為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TW" w:bidi="ar"/>
          <w14:ligatures w14:val="standardContextual"/>
        </w:rPr>
        <w:t>藝術</w:t>
      </w:r>
      <w:r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  <w14:ligatures w14:val="standardContextual"/>
        </w:rPr>
        <w:t>實踐型研究的核心。</w:t>
      </w:r>
    </w:p>
    <w:p w14:paraId="2523A4E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</w:rPr>
      </w:pPr>
    </w:p>
    <w:p w14:paraId="48E05F6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2"/>
          <w:szCs w:val="22"/>
        </w:rPr>
      </w:pPr>
    </w:p>
    <w:p w14:paraId="789921ED">
      <w:pPr>
        <w:keepNext w:val="0"/>
        <w:keepLines w:val="0"/>
        <w:widowControl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  <w:t>關於術語表的說明</w:t>
      </w:r>
    </w:p>
    <w:p w14:paraId="1ABD1455">
      <w:pPr>
        <w:keepNext w:val="0"/>
        <w:keepLines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術語表在學術寫作中扮演重要角色，尤其在美術與實踐型研究這類術語密集或跨學科的領域。精心編制的術語表：</w:t>
      </w:r>
    </w:p>
    <w:p w14:paraId="0C0894B0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為跨學科讀者釐清概念</w:t>
      </w:r>
    </w:p>
    <w:p w14:paraId="015EFF56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確保全文概念使用一致</w:t>
      </w:r>
    </w:p>
    <w:p w14:paraId="35D7060D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彰顯學術嚴謹與權威</w:t>
      </w:r>
    </w:p>
    <w:p w14:paraId="76AD1E13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Chars="0" w:right="0" w:rightChars="0"/>
        <w:jc w:val="left"/>
        <w:textAlignment w:val="auto"/>
        <w:rPr>
          <w:rFonts w:hint="eastAsia" w:ascii="PingFang TC Regular" w:hAnsi="PingFang TC Regular" w:eastAsia="PingFang TC Regular" w:cs="PingFang TC Regular"/>
          <w:sz w:val="24"/>
          <w:szCs w:val="24"/>
        </w:rPr>
      </w:pPr>
    </w:p>
    <w:p w14:paraId="09A6C609">
      <w:pPr>
        <w:pStyle w:val="1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ind w:lef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強烈建議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從第1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學年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開始，將編譯個人術語表作為重要的研究實踐習慣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此習慣：</w:t>
      </w:r>
    </w:p>
    <w:p w14:paraId="29039563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迫使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釐清理解，用自己的話定義術語能揭示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研究空白</w:t>
      </w:r>
    </w:p>
    <w:p w14:paraId="135CC421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幫助追蹤誰、何時、在何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語境或研究背景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下說了什麼</w:t>
      </w:r>
    </w:p>
    <w:p w14:paraId="54F5541B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揭示詞源、起源及語義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變遷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（工具如Google Ngram Viewer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能讓人看到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使用频率与意义演变）</w:t>
      </w:r>
    </w:p>
    <w:p w14:paraId="6FF24213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成為日後寫作、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發表以及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資格考試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論文答辯中辯護的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資源庫</w:t>
      </w:r>
    </w:p>
    <w:p w14:paraId="4D7CD19B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Chars="0" w:right="0" w:right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0FA76548">
      <w:pPr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建議在專用的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數字工具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中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儲備你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的個人術語表（例如：建立一個Notion資料庫，設置以下欄位：術語、定義、首次使用/來源、語境/詞源、演變、個人筆記），或使用簡單的筆記本。請隨閱讀、新用法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出現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或應用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精簡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而不斷更新。到撰寫論文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階段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你可以以按字母排序和定義簡潔為整理標準，得出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一份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定製的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術語表。</w:t>
      </w:r>
    </w:p>
    <w:p w14:paraId="711AD4C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4"/>
          <w:szCs w:val="24"/>
        </w:rPr>
      </w:pPr>
    </w:p>
    <w:p w14:paraId="01752E53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Semibold" w:hAnsi="PingFang TC Semibold" w:eastAsia="PingFang TC Semibold" w:cs="PingFang TC Semibold"/>
          <w:b/>
          <w:bCs/>
          <w:color w:val="78206E" w:themeColor="accent5" w:themeShade="BF"/>
          <w:sz w:val="24"/>
          <w:szCs w:val="24"/>
          <w:lang w:val="en-US"/>
        </w:rPr>
      </w:pPr>
    </w:p>
    <w:p w14:paraId="4D03DDE6">
      <w:pPr>
        <w:keepNext w:val="0"/>
        <w:keepLines w:val="0"/>
        <w:widowControl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Fonts w:hint="eastAsia" w:ascii="PingFang TC Semibold" w:hAnsi="PingFang TC Semibold" w:eastAsia="PingFang TC Semibold" w:cs="PingFang TC Semibold"/>
          <w:b/>
          <w:bCs/>
          <w:color w:val="auto"/>
          <w:kern w:val="2"/>
          <w:sz w:val="32"/>
          <w:szCs w:val="32"/>
          <w:lang w:val="en-US" w:eastAsia="zh-TW" w:bidi="ar-SA"/>
          <w14:ligatures w14:val="standardContextual"/>
        </w:rPr>
        <w:t>實用資源</w:t>
      </w:r>
    </w:p>
    <w:p w14:paraId="29DFB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  <w:t>實踐型研究核心</w:t>
      </w: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文獻：</w:t>
      </w:r>
    </w:p>
    <w:p w14:paraId="066D46CB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Graeme Sullivan, Art Practice as Research: Inquiry in the Visual Arts (SAGE, 2005/2010)</w:t>
      </w:r>
    </w:p>
    <w:p w14:paraId="294199D9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Estelle Barrett and Barbara Bolt (eds.), Practice as Research: Approaches to Creative Arts Enquiry (I.B. Tauris, 2007/2014)</w:t>
      </w:r>
    </w:p>
    <w:p w14:paraId="54B7EF96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Henk Borgdorff, The Conflict of the Faculties: Perspectives on Artistic Research and Academia (Leiden University Press, 2012)</w:t>
      </w:r>
    </w:p>
    <w:p w14:paraId="2F6F3635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Patricia Leavy, Method Meets Art: Arts-Based Research Practice (Guilford Press)</w:t>
      </w:r>
    </w:p>
    <w:p w14:paraId="587F4FEA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Shaun McNiff, Art-Based Research (1998)</w:t>
      </w:r>
    </w:p>
    <w:p w14:paraId="2729BAD9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James Elkins, Artists with PhDs (2014)</w:t>
      </w:r>
    </w:p>
    <w:p w14:paraId="06F1CD75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Katy Macleod &amp; Lin Holdridge, Thinking Through Art (2006)</w:t>
      </w:r>
    </w:p>
    <w:p w14:paraId="0563C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5C960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整理與方法：</w:t>
      </w:r>
    </w:p>
    <w:p w14:paraId="03E397B2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Patricia Leavy, Handbook of Arts-Based Research (Guilford Press, 2017)</w:t>
      </w:r>
    </w:p>
    <w:p w14:paraId="4D3F3E36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Lyle Skains, Designing and Conducting Practice-Based Research Projects (2024)</w:t>
      </w:r>
    </w:p>
    <w:p w14:paraId="0E428073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SAGE Encyclopedia of Qualitative Research Methods (Vols. 1 &amp; 2) (SAGE, 2008)</w:t>
      </w:r>
    </w:p>
    <w:p w14:paraId="28468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35F9D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閱讀/寫作：</w:t>
      </w:r>
    </w:p>
    <w:p w14:paraId="3F2CDC7F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Jordan B. Peterson, Essay Writing Guide (2014, 免费在线)</w:t>
      </w:r>
    </w:p>
    <w:p w14:paraId="3713D518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Mortimer J. Adler and Charles Van Doren, How to Read a Book (1972)</w:t>
      </w:r>
    </w:p>
    <w:p w14:paraId="0EE2D536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Umberto Eco, How to Write a Thesis (MIT Press, 2015; 原意大利文版1977)</w:t>
      </w:r>
    </w:p>
    <w:p w14:paraId="2F1A2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8DB5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大學資源：</w:t>
      </w:r>
    </w:p>
    <w:p w14:paraId="51FCBCB4">
      <w:pPr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多數大學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為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博士生提供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一系列支持服務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與資源，通常包括：</w:t>
      </w:r>
    </w:p>
    <w:p w14:paraId="768EFFC8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研究生院／博士學院：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規章制度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、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表格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、工作坊、論文提交與考核流程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的指導中心</w:t>
      </w:r>
    </w:p>
    <w:p w14:paraId="22DA0104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大學圖書館：研究指南、資料庫、館際互借、文獻檢索與引用管理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專業支援</w:t>
      </w:r>
    </w:p>
    <w:p w14:paraId="3A229AA0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學生輔導和身心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健康服務：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關於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壓力、心理健康、健康諮詢的保密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支持</w:t>
      </w:r>
    </w:p>
    <w:p w14:paraId="0718E905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學生事務處：包括學術與個人事務諮詢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在內的一般事務支持</w:t>
      </w:r>
    </w:p>
    <w:p w14:paraId="27CF74E8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院/系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資源：教師資料、研究興趣、研討會、領域專業指引</w:t>
      </w:r>
    </w:p>
    <w:p w14:paraId="7ACE7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11657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外部资源：</w:t>
      </w:r>
    </w:p>
    <w:p w14:paraId="44950F96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芝加哥格式手冊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（在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線版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：chicagomanualofstyle.org</w:t>
      </w:r>
    </w:p>
    <w:p w14:paraId="683E8F74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普渡大學線上寫作實驗室：owl.purdue.edu</w:t>
      </w:r>
    </w:p>
    <w:p w14:paraId="307AECFD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4"/>
          <w:szCs w:val="24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參考文獻管理軟件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：Zotero, EndNote, Mendeley</w:t>
      </w:r>
    </w:p>
    <w:p w14:paraId="7F56F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EBDA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240" w:lineRule="auto"/>
        <w:textAlignment w:val="auto"/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</w:pPr>
      <w:r>
        <w:rPr>
          <w:rStyle w:val="19"/>
          <w:rFonts w:hint="eastAsia" w:ascii="PingFang TC Regular" w:hAnsi="PingFang TC Regular" w:eastAsia="PingFang TC Regular" w:cs="PingFang TC Regular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TW" w:bidi="ar"/>
          <w14:ligatures w14:val="standardContextual"/>
        </w:rPr>
        <w:t>藝術創作型研究者期刊建議：</w:t>
      </w:r>
    </w:p>
    <w:p w14:paraId="5EC690E0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特別是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對於想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往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高校學術職業方向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發展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的研究者，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為建立學術形象，請勿依賴通用清單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，而是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建立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貼近個人研究方向的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期刊清單。</w:t>
      </w:r>
    </w:p>
    <w:p w14:paraId="1081E283">
      <w:pPr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52E27177">
      <w:pPr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核心步驟：</w:t>
      </w:r>
    </w:p>
    <w:p w14:paraId="1530E4F0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了解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編輯與編輯委員會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的方向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是否與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研究方向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契合</w:t>
      </w:r>
    </w:p>
    <w:p w14:paraId="35C85076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閱讀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近期和過往內容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，評估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收錄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範圍、主題、風格與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匹配度，如實踐型研究的投稿形式</w:t>
      </w:r>
    </w:p>
    <w:p w14:paraId="4F766BE0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鎖定支持藝術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或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實踐型研究的期刊</w:t>
      </w:r>
    </w:p>
    <w:p w14:paraId="60D65A9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4"/>
          <w:szCs w:val="24"/>
        </w:rPr>
      </w:pPr>
    </w:p>
    <w:p w14:paraId="29D515A1">
      <w:pPr>
        <w:keepNext w:val="0"/>
        <w:keepLines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期刊選擇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入門範例（依你的領域擴充，如當代藝術、生成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式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藝術、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數字媒體或行為藝術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）：</w:t>
      </w:r>
    </w:p>
    <w:p w14:paraId="08EFD1B2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Leonardo（MIT Press）——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藝術、科學與科技；適用AI、生成式或跨學科實踐</w:t>
      </w:r>
    </w:p>
    <w:p w14:paraId="6C9C7007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 xml:space="preserve">Journal of Artistic Research（JAR）—— 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開放獲取、實踐導向；以「闡述」格式（Exposition, 文本＋視覺材料／記錄）投稿</w:t>
      </w:r>
    </w:p>
    <w:p w14:paraId="1240ACE2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Art Journal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（College Art Association）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 xml:space="preserve">—— 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當代藝術實踐的批判性反思</w:t>
      </w:r>
    </w:p>
    <w:p w14:paraId="5EADC1A2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 xml:space="preserve">Performance Research—— 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適用行為藝術/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實驗性作品</w:t>
      </w:r>
    </w:p>
    <w:p w14:paraId="74444D6C">
      <w:pPr>
        <w:pStyle w:val="1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420" w:leftChars="0" w:hanging="420" w:firstLineChars="0"/>
        <w:jc w:val="left"/>
        <w:textAlignment w:val="auto"/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 xml:space="preserve">Visual Studies—— 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適用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CN" w:bidi="ar-SA"/>
          <w14:ligatures w14:val="standardContextual"/>
        </w:rPr>
        <w:t>視覺文化與符號學</w:t>
      </w:r>
      <w:r>
        <w:rPr>
          <w:rFonts w:hint="eastAsia" w:ascii="PingFang TC Regular" w:hAnsi="PingFang TC Regular" w:eastAsia="PingFang TC Regular" w:cs="PingFang TC Regular"/>
          <w:kern w:val="2"/>
          <w:sz w:val="24"/>
          <w:szCs w:val="24"/>
          <w:lang w:val="en-US" w:eastAsia="zh-TW" w:bidi="ar-SA"/>
          <w14:ligatures w14:val="standardContextual"/>
        </w:rPr>
        <w:t>研究</w:t>
      </w:r>
    </w:p>
    <w:p w14:paraId="4B63A4B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4"/>
          <w:szCs w:val="24"/>
        </w:rPr>
      </w:pPr>
    </w:p>
    <w:p w14:paraId="053DB0FD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可加入區域／亞太期刊（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如澳門大學相關出版物）以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強化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與研究背景、語境的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相關性。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在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二至三年級與指導教授討論清單，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爭取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在答辯前後至少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嘗試完成</w:t>
      </w:r>
      <w:r>
        <w:rPr>
          <w:rFonts w:hint="eastAsia" w:ascii="PingFang TC Regular" w:hAnsi="PingFang TC Regular" w:eastAsia="PingFang TC Regular" w:cs="PingFang TC Regular"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一次投稿。</w:t>
      </w:r>
    </w:p>
    <w:p w14:paraId="594F570C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1F2329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2A587AFC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i w:val="0"/>
          <w:iCs w:val="0"/>
          <w:caps w:val="0"/>
          <w:color w:val="1F2329"/>
          <w:spacing w:val="0"/>
          <w:kern w:val="0"/>
          <w:sz w:val="24"/>
          <w:szCs w:val="24"/>
          <w:lang w:val="en-US" w:eastAsia="zh-CN" w:bidi="ar"/>
          <w14:ligatures w14:val="standardContextual"/>
        </w:rPr>
      </w:pPr>
    </w:p>
    <w:p w14:paraId="4F43E7D9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0"/>
        <w:jc w:val="left"/>
        <w:textAlignment w:val="auto"/>
        <w:rPr>
          <w:rFonts w:hint="eastAsia" w:ascii="PingFang TC Regular" w:hAnsi="PingFang TC Regular" w:eastAsia="PingFang TC Regular" w:cs="PingFang TC Regular"/>
          <w:i/>
          <w:iCs/>
          <w:color w:val="auto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PingFang TC Regular" w:hAnsi="PingFang TC Regular" w:eastAsia="PingFang TC Regular" w:cs="PingFang TC Regular"/>
          <w:i/>
          <w:iCs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本指南屬於可持續優化文檔，將依據學生反饋及</w:t>
      </w:r>
      <w:r>
        <w:rPr>
          <w:rFonts w:hint="eastAsia" w:ascii="PingFang TC Regular" w:hAnsi="PingFang TC Regular" w:eastAsia="PingFang TC Regular" w:cs="PingFang TC Regular"/>
          <w:i/>
          <w:iCs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學系</w:t>
      </w:r>
      <w:r>
        <w:rPr>
          <w:rFonts w:hint="eastAsia" w:ascii="PingFang TC Regular" w:hAnsi="PingFang TC Regular" w:eastAsia="PingFang TC Regular" w:cs="PingFang TC Regular"/>
          <w:i/>
          <w:iCs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發展持續修訂完善。歡迎</w:t>
      </w:r>
      <w:r>
        <w:rPr>
          <w:rFonts w:hint="eastAsia" w:ascii="PingFang TC Regular" w:hAnsi="PingFang TC Regular" w:eastAsia="PingFang TC Regular" w:cs="PingFang TC Regular"/>
          <w:i/>
          <w:iCs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你</w:t>
      </w:r>
      <w:r>
        <w:rPr>
          <w:rFonts w:hint="eastAsia" w:ascii="PingFang TC Regular" w:hAnsi="PingFang TC Regular" w:eastAsia="PingFang TC Regular" w:cs="PingFang TC Regular"/>
          <w:i/>
          <w:iCs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向作者提出寶貴的建設性意見，以助力後續版本</w:t>
      </w:r>
      <w:r>
        <w:rPr>
          <w:rFonts w:hint="eastAsia" w:ascii="PingFang TC Regular" w:hAnsi="PingFang TC Regular" w:eastAsia="PingFang TC Regular" w:cs="PingFang TC Regular"/>
          <w:i/>
          <w:iCs/>
          <w:color w:val="auto"/>
          <w:kern w:val="2"/>
          <w:sz w:val="24"/>
          <w:szCs w:val="24"/>
          <w:lang w:val="en-US" w:eastAsia="zh-TW" w:bidi="ar-SA"/>
          <w14:ligatures w14:val="standardContextual"/>
        </w:rPr>
        <w:t>優化</w:t>
      </w:r>
      <w:r>
        <w:rPr>
          <w:rFonts w:hint="eastAsia" w:ascii="PingFang TC Regular" w:hAnsi="PingFang TC Regular" w:eastAsia="PingFang TC Regular" w:cs="PingFang TC Regular"/>
          <w:i/>
          <w:iCs/>
          <w:color w:val="auto"/>
          <w:kern w:val="2"/>
          <w:sz w:val="24"/>
          <w:szCs w:val="24"/>
          <w:lang w:val="en-US" w:eastAsia="zh-CN" w:bidi="ar-SA"/>
          <w14:ligatures w14:val="standardContextual"/>
        </w:rPr>
        <w:t>。</w:t>
      </w:r>
    </w:p>
    <w:p w14:paraId="65D4D27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PingFang TC Regular" w:hAnsi="PingFang TC Regular" w:eastAsia="PingFang TC Regular" w:cs="PingFang TC Regular"/>
          <w:color w:val="78206E" w:themeColor="accent5" w:themeShade="BF"/>
          <w:sz w:val="24"/>
          <w:szCs w:val="24"/>
          <w:lang w:eastAsia="zh-TW"/>
        </w:rPr>
      </w:pPr>
    </w:p>
    <w:sectPr>
      <w:pgSz w:w="12240" w:h="15840"/>
      <w:pgMar w:top="1440" w:right="1440" w:bottom="12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游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游ゴシック Ligh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TC Regular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PingFang TC Semibold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PMingLiU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4">
    <w:p>
      <w:r>
        <w:separator/>
      </w:r>
    </w:p>
  </w:footnote>
  <w:footnote w:type="continuationSeparator" w:id="25">
    <w:p>
      <w:r>
        <w:continuationSeparator/>
      </w:r>
    </w:p>
  </w:footnote>
  <w:footnote w:id="0">
    <w:p w14:paraId="2A294AC8">
      <w:pPr>
        <w:pStyle w:val="13"/>
        <w:snapToGrid w:val="0"/>
        <w:rPr>
          <w:rFonts w:hint="eastAsia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21"/>
        </w:rPr>
        <w:footnoteRef/>
      </w:r>
      <w: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Embodied Knowledg</w:t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e，親歷的/親身行動的知識，一種通過身體實際行動而非僅通過抽象思維或語言而體驗到的知識，這是實踐型研究的核心。在實踐型研究中，動手製作和運用材料往往能產生更深層理解。</w:t>
      </w:r>
    </w:p>
  </w:footnote>
  <w:footnote w:id="1">
    <w:p w14:paraId="184291C2">
      <w:pPr>
        <w:pStyle w:val="13"/>
        <w:snapToGrid w:val="0"/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21"/>
          <w:color w:val="000000" w:themeColor="text1"/>
          <w14:textFill>
            <w14:solidFill>
              <w14:schemeClr w14:val="tx1"/>
            </w14:solidFill>
          </w14:textFill>
        </w:rPr>
        <w:footnoteRef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以自身藝術實踐作為主要研究方式的藝術工作者。詳見</w:t>
      </w:r>
      <w:r>
        <w:rPr>
          <w:rFonts w:hint="eastAsia" w:eastAsia="PMingLiU"/>
          <w:color w:val="000000" w:themeColor="text1"/>
          <w:lang w:val="en-US" w:eastAsia="zh-TW"/>
          <w14:textFill>
            <w14:solidFill>
              <w14:schemeClr w14:val="tx1"/>
            </w14:solidFill>
          </w14:textFill>
        </w:rPr>
        <w:t>術語</w:t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表</w:t>
      </w:r>
      <w:r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”研究型藝術家</w:t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(Artist-Researcher)</w:t>
      </w:r>
      <w:r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</w:p>
  </w:footnote>
  <w:footnote w:id="2">
    <w:p w14:paraId="006ED620">
      <w:pPr>
        <w:pStyle w:val="13"/>
        <w:snapToGrid w:val="0"/>
        <w:rPr>
          <w:rFonts w:hint="default" w:eastAsia="宋体"/>
          <w:lang w:val="en-US" w:eastAsia="zh-CN"/>
        </w:rPr>
      </w:pPr>
      <w:r>
        <w:rPr>
          <w:rStyle w:val="21"/>
        </w:rPr>
        <w:footnoteRef/>
      </w:r>
      <w:r>
        <w:t xml:space="preserve"> </w:t>
      </w:r>
      <w:r>
        <w:rPr>
          <w:rFonts w:hint="eastAsia"/>
        </w:rPr>
        <w:t>Digital Obsolescence</w:t>
      </w:r>
      <w:r>
        <w:rPr>
          <w:rFonts w:hint="eastAsia"/>
          <w:lang w:eastAsia="zh-CN"/>
        </w:rPr>
        <w:t>，</w:t>
      </w:r>
      <w:r>
        <w:rPr>
          <w:rFonts w:hint="eastAsia" w:eastAsia="宋体"/>
        </w:rPr>
        <w:t>中文常譯為</w:t>
      </w:r>
      <w:r>
        <w:rPr>
          <w:rFonts w:hint="eastAsia" w:ascii="宋体" w:hAnsi="宋体" w:eastAsia="宋体" w:cs="宋体"/>
          <w:highlight w:val="none"/>
        </w:rPr>
        <w:t>「</w:t>
      </w:r>
      <w:r>
        <w:rPr>
          <w:rFonts w:hint="eastAsia" w:eastAsia="宋体"/>
        </w:rPr>
        <w:t>數字過時性</w:t>
      </w:r>
      <w:r>
        <w:rPr>
          <w:rFonts w:hint="eastAsia" w:ascii="宋体" w:hAnsi="宋体" w:eastAsia="宋体" w:cs="宋体"/>
          <w:highlight w:val="none"/>
        </w:rPr>
        <w:t>」</w:t>
      </w:r>
      <w:r>
        <w:rPr>
          <w:rFonts w:hint="eastAsia" w:eastAsia="宋体"/>
        </w:rPr>
        <w:t>、</w:t>
      </w:r>
      <w:r>
        <w:rPr>
          <w:rFonts w:hint="eastAsia" w:ascii="宋体" w:hAnsi="宋体" w:eastAsia="宋体" w:cs="宋体"/>
          <w:highlight w:val="none"/>
        </w:rPr>
        <w:t>「</w:t>
      </w:r>
      <w:r>
        <w:rPr>
          <w:rFonts w:hint="eastAsia" w:eastAsia="宋体"/>
        </w:rPr>
        <w:t>數字荒廢</w:t>
      </w:r>
      <w:r>
        <w:rPr>
          <w:rFonts w:hint="eastAsia" w:ascii="宋体" w:hAnsi="宋体" w:eastAsia="宋体" w:cs="宋体"/>
          <w:highlight w:val="none"/>
        </w:rPr>
        <w:t>」</w:t>
      </w:r>
      <w:r>
        <w:rPr>
          <w:rFonts w:hint="eastAsia" w:eastAsia="宋体"/>
        </w:rPr>
        <w:t xml:space="preserve"> 或 </w:t>
      </w:r>
      <w:r>
        <w:rPr>
          <w:rFonts w:hint="eastAsia" w:ascii="宋体" w:hAnsi="宋体" w:eastAsia="宋体" w:cs="宋体"/>
          <w:highlight w:val="none"/>
        </w:rPr>
        <w:t>「</w:t>
      </w:r>
      <w:r>
        <w:rPr>
          <w:rFonts w:hint="eastAsia" w:eastAsia="宋体"/>
        </w:rPr>
        <w:t>數字陳舊</w:t>
      </w:r>
      <w:r>
        <w:rPr>
          <w:rFonts w:hint="eastAsia" w:ascii="宋体" w:hAnsi="宋体" w:eastAsia="宋体" w:cs="宋体"/>
          <w:highlight w:val="none"/>
        </w:rPr>
        <w:t>」</w:t>
      </w:r>
      <w:r>
        <w:rPr>
          <w:rFonts w:hint="eastAsia" w:ascii="宋体" w:hAnsi="宋体" w:eastAsia="宋体" w:cs="宋体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highlight w:val="none"/>
          <w:lang w:val="en-US" w:eastAsia="zh-CN"/>
        </w:rPr>
        <w:t>指</w:t>
      </w:r>
      <w:r>
        <w:rPr>
          <w:rFonts w:hint="eastAsia" w:ascii="宋体" w:hAnsi="宋体" w:eastAsia="宋体" w:cs="宋体"/>
          <w:highlight w:val="none"/>
          <w:lang w:eastAsia="zh-CN"/>
        </w:rPr>
        <w:t>由於技術飛速迭代，</w:t>
      </w:r>
      <w:r>
        <w:rPr>
          <w:rFonts w:hint="eastAsia" w:ascii="宋体" w:hAnsi="宋体" w:eastAsia="宋体" w:cs="宋体"/>
          <w:highlight w:val="none"/>
          <w:lang w:val="en-US" w:eastAsia="zh-CN"/>
        </w:rPr>
        <w:t>早期硬體中</w:t>
      </w:r>
      <w:r>
        <w:rPr>
          <w:rFonts w:hint="eastAsia" w:ascii="宋体" w:hAnsi="宋体" w:eastAsia="宋体" w:cs="宋体"/>
          <w:highlight w:val="none"/>
          <w:lang w:eastAsia="zh-CN"/>
        </w:rPr>
        <w:t>數字資訊雖然</w:t>
      </w:r>
      <w:r>
        <w:rPr>
          <w:rFonts w:hint="eastAsia" w:ascii="宋体" w:hAnsi="宋体" w:eastAsia="宋体" w:cs="宋体"/>
          <w:highlight w:val="none"/>
          <w:lang w:val="en-US" w:eastAsia="zh-CN"/>
        </w:rPr>
        <w:t>仍</w:t>
      </w:r>
      <w:r>
        <w:rPr>
          <w:rFonts w:hint="eastAsia" w:ascii="宋体" w:hAnsi="宋体" w:eastAsia="宋体" w:cs="宋体"/>
          <w:highlight w:val="none"/>
          <w:lang w:eastAsia="zh-CN"/>
        </w:rPr>
        <w:t>存在，卻再也無法被讀取</w:t>
      </w:r>
      <w:r>
        <w:rPr>
          <w:rFonts w:hint="eastAsia" w:ascii="宋体" w:hAnsi="宋体" w:eastAsia="宋体" w:cs="宋体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highlight w:val="none"/>
          <w:lang w:eastAsia="zh-CN"/>
        </w:rPr>
        <w:t>訪問。——</w:t>
      </w:r>
      <w:r>
        <w:rPr>
          <w:rFonts w:hint="eastAsia" w:ascii="宋体" w:hAnsi="宋体" w:eastAsia="宋体" w:cs="宋体"/>
          <w:highlight w:val="none"/>
          <w:lang w:val="en-US" w:eastAsia="zh-CN"/>
        </w:rPr>
        <w:t>譯注</w:t>
      </w:r>
    </w:p>
  </w:footnote>
  <w:footnote w:id="3">
    <w:p w14:paraId="30A09DEB">
      <w:pPr>
        <w:pStyle w:val="13"/>
        <w:snapToGrid w:val="0"/>
        <w:rPr>
          <w:rFonts w:hint="default" w:eastAsiaTheme="minorEastAsia"/>
          <w:lang w:val="en-US" w:eastAsia="zh-CN"/>
        </w:rPr>
      </w:pPr>
      <w:r>
        <w:rPr>
          <w:rStyle w:val="21"/>
        </w:rPr>
        <w:footnoteRef/>
      </w:r>
      <w:r>
        <w:rPr>
          <w:rFonts w:eastAsia="宋体"/>
        </w:rPr>
        <w:t xml:space="preserve"> </w:t>
      </w:r>
      <w:r>
        <w:rPr>
          <w:rFonts w:hint="eastAsia" w:eastAsia="宋体"/>
          <w:lang w:val="en-US" w:eastAsia="zh-CN"/>
        </w:rPr>
        <w:t>P</w:t>
      </w:r>
      <w:r>
        <w:rPr>
          <w:rFonts w:eastAsia="宋体"/>
        </w:rPr>
        <w:t xml:space="preserve">rocess </w:t>
      </w:r>
      <w:r>
        <w:rPr>
          <w:rFonts w:hint="eastAsia" w:eastAsia="宋体"/>
          <w:lang w:val="en-US" w:eastAsia="zh-CN"/>
        </w:rPr>
        <w:t>A</w:t>
      </w:r>
      <w:r>
        <w:rPr>
          <w:rFonts w:eastAsia="宋体"/>
        </w:rPr>
        <w:t>rt</w:t>
      </w:r>
      <w:r>
        <w:rPr>
          <w:rFonts w:hint="eastAsia" w:eastAsia="宋体"/>
          <w:lang w:eastAsia="zh-CN"/>
        </w:rPr>
        <w:t>，</w:t>
      </w:r>
      <w:r>
        <w:rPr>
          <w:rFonts w:hint="eastAsia" w:eastAsia="宋体"/>
          <w:lang w:val="en-US" w:eastAsia="zh-CN"/>
        </w:rPr>
        <w:t>過程藝術，興於上世紀</w:t>
      </w:r>
      <w:r>
        <w:rPr>
          <w:rFonts w:hint="default" w:eastAsia="宋体"/>
          <w:lang w:val="pt-PT" w:eastAsia="zh-CN"/>
        </w:rPr>
        <w:t>60</w:t>
      </w:r>
      <w:r>
        <w:rPr>
          <w:rFonts w:hint="eastAsia" w:eastAsia="宋体"/>
          <w:lang w:val="en-US" w:eastAsia="zh-CN"/>
        </w:rPr>
        <w:t>年代中期的歐美。作為對極簡主義的回應，過程藝術更重視作品創作過程或持續變化過程，而非物件本身。</w:t>
      </w:r>
      <w:r>
        <w:rPr>
          <w:rFonts w:hint="eastAsia" w:ascii="宋体" w:hAnsi="宋体" w:eastAsia="宋体" w:cs="宋体"/>
          <w:highlight w:val="none"/>
          <w:lang w:eastAsia="zh-CN"/>
        </w:rPr>
        <w:t>——</w:t>
      </w:r>
      <w:r>
        <w:rPr>
          <w:rFonts w:hint="eastAsia" w:ascii="宋体" w:hAnsi="宋体" w:eastAsia="宋体" w:cs="宋体"/>
          <w:highlight w:val="none"/>
          <w:lang w:val="en-US" w:eastAsia="zh-CN"/>
        </w:rPr>
        <w:t>譯注</w:t>
      </w:r>
    </w:p>
  </w:footnote>
  <w:footnote w:id="4">
    <w:p w14:paraId="07FEBD09">
      <w:pPr>
        <w:pStyle w:val="13"/>
        <w:snapToGrid w:val="0"/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21"/>
        </w:rPr>
        <w:footnoteRef/>
      </w:r>
      <w:r>
        <w:t xml:space="preserve"> </w:t>
      </w:r>
      <w:r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透明（Transparency）”指的是， 當你的</w:t>
      </w:r>
      <w:r>
        <w:rPr>
          <w:rFonts w:hint="eastAsia" w:eastAsia="PMingLiU"/>
          <w:color w:val="000000" w:themeColor="text1"/>
          <w:lang w:val="en-US" w:eastAsia="zh-TW"/>
          <w14:textFill>
            <w14:solidFill>
              <w14:schemeClr w14:val="tx1"/>
            </w14:solidFill>
          </w14:textFill>
        </w:rPr>
        <w:t>項目</w:t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涉及人類參與者時，你應該對參與者保持從始至終的資訊公開和真誠。具體而言，至少每位參與者在事前已瞭解：1. 你</w:t>
      </w:r>
      <w:r>
        <w:rPr>
          <w:rFonts w:hint="eastAsia" w:eastAsia="PMingLiU"/>
          <w:color w:val="000000" w:themeColor="text1"/>
          <w:lang w:val="en-US" w:eastAsia="zh-TW"/>
          <w14:textFill>
            <w14:solidFill>
              <w14:schemeClr w14:val="tx1"/>
            </w14:solidFill>
          </w14:textFill>
        </w:rPr>
        <w:t>項目</w:t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目的；2.參與者將要做什麼（被採訪、被拍照等）；3.此</w:t>
      </w:r>
      <w:r>
        <w:rPr>
          <w:rFonts w:hint="eastAsia" w:eastAsia="PMingLiU"/>
          <w:color w:val="000000" w:themeColor="text1"/>
          <w:lang w:val="en-US" w:eastAsia="zh-TW"/>
          <w14:textFill>
            <w14:solidFill>
              <w14:schemeClr w14:val="tx1"/>
            </w14:solidFill>
          </w14:textFill>
        </w:rPr>
        <w:t>項目</w:t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的潛在風險；4.參與者的個人資訊將會如何被使用；5.參與者的參與是純粹出於自願；6.參與者有權在無任何不良後果的情況下隨時退出；7.你的</w:t>
      </w:r>
      <w:r>
        <w:rPr>
          <w:rFonts w:hint="eastAsia" w:eastAsia="PMingLiU"/>
          <w:color w:val="000000" w:themeColor="text1"/>
          <w:lang w:val="en-US" w:eastAsia="zh-TW"/>
          <w14:textFill>
            <w14:solidFill>
              <w14:schemeClr w14:val="tx1"/>
            </w14:solidFill>
          </w14:textFill>
        </w:rPr>
        <w:t>項目</w:t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沒有隱瞞或含糊不清的地方。</w:t>
      </w:r>
    </w:p>
  </w:footnote>
  <w:footnote w:id="5">
    <w:p w14:paraId="5510DAA7">
      <w:pPr>
        <w:pStyle w:val="13"/>
        <w:snapToGrid w:val="0"/>
        <w:rPr>
          <w:rFonts w:hint="default" w:eastAsiaTheme="minorEastAsia"/>
          <w:lang w:val="en-US" w:eastAsia="zh-CN"/>
        </w:rPr>
      </w:pPr>
      <w:r>
        <w:rPr>
          <w:rStyle w:val="21"/>
        </w:rPr>
        <w:footnoteRef/>
      </w:r>
      <w:r>
        <w:t xml:space="preserve"> </w:t>
      </w:r>
      <w:r>
        <w:rPr>
          <w:rFonts w:hint="eastAsia" w:eastAsia="宋体"/>
          <w:lang w:val="en-US" w:eastAsia="zh-CN"/>
        </w:rPr>
        <w:t>訪談分為：1.「結構化（Structured）」、2.「非結構化（Unstructured）」、和3.「半結構化（Semi-Structured）」三種。1.「結構化訪談」設定了一些列預設問題以獲取標準化數據，被訪談者只能按預設方式回答，特點是極度聚焦但靈活性低；2.「非結構化訪談」沒有預設問題，整個訪談如聊天般圍繞某個主題展開，特點是自由度高但聚焦不足；3.「半結構化訪談」結合上述兩者優點，既有預設提問和提問結構，又允許被訪談者自由地追加對話或改變回答次序，不過此訪談方式可能較耗時。——譯注</w:t>
      </w:r>
    </w:p>
  </w:footnote>
  <w:footnote w:id="6">
    <w:p w14:paraId="07CC5762">
      <w:pPr>
        <w:pStyle w:val="13"/>
        <w:snapToGrid w:val="0"/>
        <w:rPr>
          <w:rFonts w:hint="eastAsia" w:eastAsia="PMingLiU"/>
          <w:lang w:val="en-US" w:eastAsia="zh-TW"/>
        </w:rPr>
      </w:pPr>
      <w:r>
        <w:rPr>
          <w:rStyle w:val="21"/>
        </w:rPr>
        <w:footnoteRef/>
      </w:r>
      <w:r>
        <w:t xml:space="preserve"> </w:t>
      </w:r>
      <w:r>
        <w:rPr>
          <w:rFonts w:hint="eastAsia"/>
        </w:rPr>
        <w:t xml:space="preserve">Jordan B. Peterson's </w:t>
      </w:r>
      <w:r>
        <w:rPr>
          <w:rFonts w:hint="eastAsia"/>
          <w:i/>
          <w:iCs/>
        </w:rPr>
        <w:t>Essay Writing Guide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(2014</w:t>
      </w:r>
      <w:r>
        <w:rPr>
          <w:rFonts w:hint="eastAsia"/>
          <w:lang w:val="en-US" w:eastAsia="zh-CN"/>
        </w:rPr>
        <w:t xml:space="preserve">),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"https://fbm.exams.sg/wp-content/uploads/2021/01/Dr-Jordan-Peterson_s-Essay-Writing-Guide.pdf"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20"/>
          <w:rFonts w:hint="eastAsia"/>
          <w:lang w:val="en-US" w:eastAsia="zh-CN"/>
        </w:rPr>
        <w:t>https://fbm.exams.sg/wp-content/uploads/2021/01/Dr-Jordan-Peterson_s-Essay-Writing-Guide.pdf</w:t>
      </w:r>
      <w:r>
        <w:rPr>
          <w:rFonts w:hint="eastAsia"/>
          <w:lang w:val="en-US" w:eastAsia="zh-CN"/>
        </w:rPr>
        <w:fldChar w:fldCharType="end"/>
      </w:r>
      <w:r>
        <w:rPr>
          <w:rFonts w:hint="eastAsia" w:eastAsia="PMingLiU"/>
          <w:lang w:val="en-US" w:eastAsia="zh-TW"/>
        </w:rPr>
        <w:t xml:space="preserve"> </w:t>
      </w:r>
      <w:r>
        <w:rPr>
          <w:rFonts w:hint="eastAsia" w:eastAsia="PMingLiU" w:cstheme="minorBidi"/>
          <w:kern w:val="2"/>
          <w:sz w:val="18"/>
          <w:szCs w:val="24"/>
          <w:lang w:val="en-US" w:eastAsia="zh-TW" w:bidi="ar-SA"/>
          <w14:ligatures w14:val="standardContextual"/>
        </w:rPr>
        <w:t>——譯注</w:t>
      </w:r>
    </w:p>
  </w:footnote>
  <w:footnote w:id="7">
    <w:p w14:paraId="0B2F9D5C">
      <w:pPr>
        <w:pStyle w:val="13"/>
        <w:snapToGrid w:val="0"/>
        <w:rPr>
          <w:rFonts w:hint="eastAsia" w:eastAsia="PMingLiU"/>
          <w:lang w:val="en-US" w:eastAsia="zh-TW"/>
        </w:rPr>
      </w:pPr>
      <w:r>
        <w:rPr>
          <w:rStyle w:val="21"/>
        </w:rPr>
        <w:footnoteRef/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>Journal of Artistic Research</w:t>
      </w:r>
      <w:r>
        <w:rPr>
          <w:rFonts w:hint="eastAsia"/>
        </w:rPr>
        <w:t xml:space="preserve"> (JAR)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"https://jar-online.net/" </w:instrText>
      </w:r>
      <w:r>
        <w:rPr>
          <w:rFonts w:hint="eastAsia"/>
        </w:rPr>
        <w:fldChar w:fldCharType="separate"/>
      </w:r>
      <w:r>
        <w:rPr>
          <w:rStyle w:val="20"/>
          <w:rFonts w:hint="eastAsia"/>
        </w:rPr>
        <w:t>https://jar-online.net/</w:t>
      </w:r>
      <w:r>
        <w:rPr>
          <w:rFonts w:hint="eastAsia"/>
        </w:rPr>
        <w:fldChar w:fldCharType="end"/>
      </w:r>
      <w:r>
        <w:rPr>
          <w:rFonts w:hint="eastAsia" w:eastAsia="PMingLiU"/>
          <w:lang w:val="en-US" w:eastAsia="zh-TW"/>
        </w:rPr>
        <w:t xml:space="preserve"> </w:t>
      </w:r>
      <w:r>
        <w:rPr>
          <w:rFonts w:hint="eastAsia" w:eastAsia="PMingLiU" w:cstheme="minorBidi"/>
          <w:kern w:val="2"/>
          <w:sz w:val="18"/>
          <w:szCs w:val="24"/>
          <w:lang w:val="en-US" w:eastAsia="zh-TW" w:bidi="ar-SA"/>
          <w14:ligatures w14:val="standardContextual"/>
        </w:rPr>
        <w:t>——譯注</w:t>
      </w:r>
    </w:p>
  </w:footnote>
  <w:footnote w:id="8">
    <w:p w14:paraId="66C7D5C3">
      <w:pPr>
        <w:pStyle w:val="13"/>
        <w:snapToGrid w:val="0"/>
        <w:rPr>
          <w:rFonts w:hint="eastAsia" w:eastAsia="PMingLiU"/>
          <w:lang w:val="en-US" w:eastAsia="zh-TW"/>
        </w:rPr>
      </w:pPr>
      <w:r>
        <w:rPr>
          <w:rStyle w:val="21"/>
        </w:rPr>
        <w:footnoteRef/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 w:eastAsia="宋体"/>
        </w:rPr>
        <w:t>中文語境中並未嚴格區分兩者，兩者皆能被翻譯為參考文獻。中國內地《資訊與文獻參考文獻著錄規則GB/T7714-2025》第1頁的《3 術語和定義》中，將「References」譯作「參考文獻」，未提及「Bibliography」。</w:t>
      </w:r>
      <w:r>
        <w:rPr>
          <w:rFonts w:hint="eastAsia" w:eastAsia="宋体"/>
          <w:lang w:val="en-US" w:eastAsia="zh-CN"/>
        </w:rPr>
        <w:t xml:space="preserve"> 具體使用規則請向你導師或大學諮詢。</w:t>
      </w:r>
      <w:r>
        <w:rPr>
          <w:rFonts w:hint="eastAsia" w:eastAsia="宋体"/>
        </w:rPr>
        <w:t>《資訊與文獻參考文獻著錄規則GB/T7714-2025》詳見：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"https://journal-platform-1305836431.cos.ap-beijing.myqcloud.com/zhongnan/article_attachment/2026/0209/wI7DnAmOoWhd-5QcrCskE.pdf" </w:instrText>
      </w:r>
      <w:r>
        <w:rPr>
          <w:rFonts w:hint="eastAsia"/>
        </w:rPr>
        <w:fldChar w:fldCharType="separate"/>
      </w:r>
      <w:r>
        <w:rPr>
          <w:rStyle w:val="20"/>
          <w:rFonts w:hint="eastAsia"/>
        </w:rPr>
        <w:t>https://journal-platform-1305836431.cos.ap-beijing.myqcloud.com//zhongnan/article_attachment/2026/0209/wI7DnAmOoWhd-5QcrCskE.pdf</w:t>
      </w:r>
      <w:r>
        <w:rPr>
          <w:rFonts w:hint="eastAsia"/>
        </w:rPr>
        <w:fldChar w:fldCharType="end"/>
      </w:r>
      <w:r>
        <w:rPr>
          <w:rFonts w:hint="eastAsia" w:eastAsia="PMingLiU"/>
          <w:lang w:val="en-US" w:eastAsia="zh-TW"/>
        </w:rPr>
        <w:t xml:space="preserve"> </w:t>
      </w:r>
      <w:r>
        <w:rPr>
          <w:rFonts w:hint="eastAsia" w:eastAsia="PMingLiU" w:cstheme="minorBidi"/>
          <w:kern w:val="2"/>
          <w:sz w:val="18"/>
          <w:szCs w:val="24"/>
          <w:lang w:val="en-US" w:eastAsia="zh-TW" w:bidi="ar-SA"/>
          <w14:ligatures w14:val="standardContextual"/>
        </w:rPr>
        <w:t>——譯注</w:t>
      </w:r>
    </w:p>
    <w:p w14:paraId="272DD8ED">
      <w:pPr>
        <w:pStyle w:val="13"/>
        <w:snapToGrid w:val="0"/>
        <w:rPr>
          <w:rFonts w:hint="eastAsia"/>
        </w:rPr>
      </w:pPr>
    </w:p>
  </w:footnote>
  <w:footnote w:id="9">
    <w:p w14:paraId="6FACBB32">
      <w:pPr>
        <w:keepNext w:val="0"/>
        <w:keepLines w:val="0"/>
        <w:widowControl/>
        <w:suppressLineNumbers w:val="0"/>
        <w:jc w:val="left"/>
        <w:rPr>
          <w:rFonts w:hint="eastAsia" w:eastAsia="PMingLiU" w:asciiTheme="minorHAnsi" w:hAnsiTheme="minorHAnsi" w:cstheme="minorBidi"/>
          <w:kern w:val="2"/>
          <w:sz w:val="18"/>
          <w:szCs w:val="24"/>
          <w:lang w:val="en-US" w:eastAsia="zh-TW" w:bidi="ar-SA"/>
          <w14:ligatures w14:val="standardContextual"/>
        </w:rPr>
      </w:pPr>
      <w:r>
        <w:rPr>
          <w:rStyle w:val="21"/>
        </w:rPr>
        <w:footnoteRef/>
      </w:r>
      <w:r>
        <w:t xml:space="preserve"> </w:t>
      </w:r>
      <w:r>
        <w:rPr>
          <w:rFonts w:hint="eastAsia" w:eastAsia="PMingLiU" w:asciiTheme="minorHAnsi" w:hAnsiTheme="minorHAnsi" w:cstheme="minorBidi"/>
          <w:kern w:val="2"/>
          <w:sz w:val="18"/>
          <w:szCs w:val="24"/>
          <w:lang w:val="en-US" w:eastAsia="zh-TW" w:bidi="ar-SA"/>
          <w14:ligatures w14:val="standardContextual"/>
        </w:rPr>
        <w:t>20英尺約</w:t>
      </w:r>
      <w:r>
        <w:rPr>
          <w:rFonts w:hint="eastAsia" w:eastAsia="PMingLiU" w:asciiTheme="minorHAnsi" w:hAnsiTheme="minorHAnsi" w:cstheme="minorBidi"/>
          <w:kern w:val="2"/>
          <w:sz w:val="18"/>
          <w:szCs w:val="24"/>
          <w:lang w:val="en-US" w:eastAsia="zh-CN" w:bidi="ar-SA"/>
          <w14:ligatures w14:val="standardContextual"/>
        </w:rPr>
        <w:t>609.6</w:t>
      </w:r>
      <w:r>
        <w:rPr>
          <w:rFonts w:hint="eastAsia" w:eastAsia="PMingLiU" w:cstheme="minorBidi"/>
          <w:kern w:val="2"/>
          <w:sz w:val="18"/>
          <w:szCs w:val="24"/>
          <w:lang w:val="en-US" w:eastAsia="zh-TW" w:bidi="ar-SA"/>
          <w14:ligatures w14:val="standardContextual"/>
        </w:rPr>
        <w:t>釐米——譯注</w:t>
      </w:r>
    </w:p>
    <w:p w14:paraId="1803502D">
      <w:pPr>
        <w:pStyle w:val="13"/>
        <w:snapToGrid w:val="0"/>
      </w:pPr>
    </w:p>
  </w:footnote>
  <w:footnote w:id="10">
    <w:p w14:paraId="11B2E3FD">
      <w:pPr>
        <w:keepNext w:val="0"/>
        <w:keepLines w:val="0"/>
        <w:widowControl/>
        <w:suppressLineNumbers w:val="0"/>
        <w:jc w:val="left"/>
        <w:rPr>
          <w:rFonts w:hint="default" w:eastAsia="PMingLiU"/>
          <w:lang w:val="en-US" w:eastAsia="zh-TW"/>
        </w:rPr>
      </w:pPr>
      <w:r>
        <w:rPr>
          <w:rStyle w:val="21"/>
        </w:rPr>
        <w:footnoteRef/>
      </w:r>
      <w:r>
        <w:t xml:space="preserve"> </w:t>
      </w:r>
      <w:r>
        <w:rPr>
          <w:rFonts w:hint="eastAsia" w:eastAsia="PMingLiU" w:asciiTheme="minorHAnsi" w:hAnsiTheme="minorHAnsi" w:cstheme="minorBidi"/>
          <w:kern w:val="2"/>
          <w:sz w:val="18"/>
          <w:szCs w:val="24"/>
          <w:lang w:val="en-US" w:eastAsia="zh-CN" w:bidi="ar-SA"/>
          <w14:ligatures w14:val="standardContextual"/>
        </w:rPr>
        <w:t>Exposition（研究闡述）：藝術研究領域的專屬發表格式，以多媒體整合方式呈現創作實踐、過程與研究洞見，融合文字、圖像、影音與過程紀錄，用於替代傳統純文字論文，是實踐型藝術博士發表研究的標準格式</w:t>
      </w:r>
      <w:r>
        <w:rPr>
          <w:rFonts w:hint="eastAsia" w:eastAsia="PMingLiU" w:cstheme="minorBidi"/>
          <w:kern w:val="2"/>
          <w:sz w:val="18"/>
          <w:szCs w:val="24"/>
          <w:lang w:val="en-US" w:eastAsia="zh-TW" w:bidi="ar-SA"/>
          <w14:ligatures w14:val="standardContextual"/>
        </w:rPr>
        <w:t>——譯注</w:t>
      </w:r>
    </w:p>
    <w:p w14:paraId="28C73F47">
      <w:pPr>
        <w:pStyle w:val="13"/>
        <w:snapToGrid w:val="0"/>
      </w:pPr>
    </w:p>
  </w:footnote>
  <w:footnote w:id="11">
    <w:p w14:paraId="33809ABB">
      <w:pPr>
        <w:pStyle w:val="13"/>
        <w:snapToGrid w:val="0"/>
        <w:rPr>
          <w:rFonts w:hint="default" w:eastAsia="PMingLiU"/>
          <w:lang w:val="en-US" w:eastAsia="zh-TW"/>
        </w:rPr>
      </w:pPr>
      <w:r>
        <w:rPr>
          <w:rStyle w:val="21"/>
        </w:rPr>
        <w:footnoteRef/>
      </w:r>
      <w:r>
        <w:t xml:space="preserve"> </w:t>
      </w:r>
      <w:r>
        <w:rPr>
          <w:rFonts w:hint="eastAsia" w:eastAsia="PMingLiU"/>
          <w:lang w:val="en-US" w:eastAsia="zh-TW"/>
        </w:rPr>
        <w:t>同前文腳註，</w:t>
      </w:r>
      <w:r>
        <w:rPr>
          <w:rFonts w:hint="eastAsia" w:eastAsia="PMingLiU"/>
          <w:lang w:val="en-US" w:eastAsia="zh-CN"/>
        </w:rPr>
        <w:t>在中文</w:t>
      </w:r>
      <w:r>
        <w:rPr>
          <w:rFonts w:hint="eastAsia" w:eastAsia="PMingLiU"/>
          <w:lang w:val="en-US" w:eastAsia="zh-TW"/>
        </w:rPr>
        <w:t>學術規範中，</w:t>
      </w:r>
      <w:r>
        <w:rPr>
          <w:rFonts w:hint="eastAsia" w:eastAsia="PMingLiU"/>
          <w:lang w:val="en-US" w:eastAsia="zh-CN"/>
        </w:rPr>
        <w:t>References</w:t>
      </w:r>
      <w:r>
        <w:rPr>
          <w:rFonts w:hint="eastAsia" w:eastAsia="PMingLiU"/>
          <w:lang w:val="en-US" w:eastAsia="zh-TW"/>
        </w:rPr>
        <w:t>與</w:t>
      </w:r>
      <w:r>
        <w:rPr>
          <w:rFonts w:hint="eastAsia" w:eastAsia="PMingLiU"/>
          <w:lang w:val="en-US" w:eastAsia="zh-CN"/>
        </w:rPr>
        <w:t>Bibliography</w:t>
      </w:r>
      <w:r>
        <w:rPr>
          <w:rFonts w:hint="eastAsia" w:eastAsia="PMingLiU"/>
          <w:lang w:val="en-US" w:eastAsia="zh-TW"/>
        </w:rPr>
        <w:t>都譯為「參考文獻」，</w:t>
      </w:r>
      <w:r>
        <w:rPr>
          <w:rFonts w:hint="eastAsia" w:eastAsia="PMingLiU"/>
          <w:lang w:val="en-US" w:eastAsia="zh-CN"/>
        </w:rPr>
        <w:t>Bibliography是研究</w:t>
      </w:r>
      <w:r>
        <w:rPr>
          <w:rFonts w:hint="eastAsia" w:eastAsia="PMingLiU"/>
          <w:lang w:val="en-US" w:eastAsia="zh-TW"/>
        </w:rPr>
        <w:t>過程</w:t>
      </w:r>
      <w:r>
        <w:rPr>
          <w:rFonts w:hint="eastAsia" w:eastAsia="PMingLiU"/>
          <w:lang w:val="en-US" w:eastAsia="zh-CN"/>
        </w:rPr>
        <w:t>中</w:t>
      </w:r>
      <w:r>
        <w:rPr>
          <w:rFonts w:hint="eastAsia" w:eastAsia="PMingLiU"/>
          <w:lang w:val="en-US" w:eastAsia="zh-TW"/>
        </w:rPr>
        <w:t>看過的內容</w:t>
      </w:r>
      <w:r>
        <w:rPr>
          <w:rFonts w:hint="eastAsia" w:eastAsia="PMingLiU"/>
          <w:lang w:val="en-US" w:eastAsia="zh-CN"/>
        </w:rPr>
        <w:t>，Reference是</w:t>
      </w:r>
      <w:r>
        <w:rPr>
          <w:rFonts w:hint="eastAsia" w:eastAsia="PMingLiU"/>
          <w:lang w:val="en-US" w:eastAsia="zh-TW"/>
        </w:rPr>
        <w:t>直接或間接引用到文章裡的內容。此處把</w:t>
      </w:r>
      <w:r>
        <w:rPr>
          <w:rFonts w:hint="eastAsia" w:eastAsia="PMingLiU"/>
          <w:lang w:val="en-US" w:eastAsia="zh-CN"/>
        </w:rPr>
        <w:t>References</w:t>
      </w:r>
      <w:r>
        <w:rPr>
          <w:rFonts w:hint="eastAsia" w:eastAsia="PMingLiU"/>
          <w:lang w:val="en-US" w:eastAsia="zh-TW"/>
        </w:rPr>
        <w:t>譯為「引用文獻」，僅為讓讀者快速區分這兩個概念，配合術語表使用——譯注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F82FA8"/>
    <w:multiLevelType w:val="singleLevel"/>
    <w:tmpl w:val="A1F82FA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B3F7955"/>
    <w:multiLevelType w:val="singleLevel"/>
    <w:tmpl w:val="AB3F795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9FDC729"/>
    <w:multiLevelType w:val="singleLevel"/>
    <w:tmpl w:val="B9FDC72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BB5F7B0F"/>
    <w:multiLevelType w:val="singleLevel"/>
    <w:tmpl w:val="BB5F7B0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BE7CB76E"/>
    <w:multiLevelType w:val="singleLevel"/>
    <w:tmpl w:val="BE7CB76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BFFE944C"/>
    <w:multiLevelType w:val="singleLevel"/>
    <w:tmpl w:val="BFFE944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CB6816EC"/>
    <w:multiLevelType w:val="singleLevel"/>
    <w:tmpl w:val="CB6816E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CFFEDF86"/>
    <w:multiLevelType w:val="singleLevel"/>
    <w:tmpl w:val="CFFEDF8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DF2F72DD"/>
    <w:multiLevelType w:val="multilevel"/>
    <w:tmpl w:val="DF2F72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DF64987F"/>
    <w:multiLevelType w:val="singleLevel"/>
    <w:tmpl w:val="DF64987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">
    <w:nsid w:val="DFF32CA8"/>
    <w:multiLevelType w:val="singleLevel"/>
    <w:tmpl w:val="DFF32CA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">
    <w:nsid w:val="EEDAABD6"/>
    <w:multiLevelType w:val="singleLevel"/>
    <w:tmpl w:val="EEDAABD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">
    <w:nsid w:val="EFFBBA92"/>
    <w:multiLevelType w:val="singleLevel"/>
    <w:tmpl w:val="EFFBBA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">
    <w:nsid w:val="EFFF1C73"/>
    <w:multiLevelType w:val="singleLevel"/>
    <w:tmpl w:val="EFFF1C7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4">
    <w:nsid w:val="F2BFEC21"/>
    <w:multiLevelType w:val="singleLevel"/>
    <w:tmpl w:val="F2BFEC2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F3D09BB5"/>
    <w:multiLevelType w:val="singleLevel"/>
    <w:tmpl w:val="F3D09BB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6">
    <w:nsid w:val="F7FA8DE0"/>
    <w:multiLevelType w:val="singleLevel"/>
    <w:tmpl w:val="F7FA8DE0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7">
    <w:nsid w:val="F7FB2031"/>
    <w:multiLevelType w:val="singleLevel"/>
    <w:tmpl w:val="F7FB2031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8">
    <w:nsid w:val="F9E75DFE"/>
    <w:multiLevelType w:val="singleLevel"/>
    <w:tmpl w:val="F9E75DF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9">
    <w:nsid w:val="FA761149"/>
    <w:multiLevelType w:val="singleLevel"/>
    <w:tmpl w:val="FA76114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0">
    <w:nsid w:val="FBECF160"/>
    <w:multiLevelType w:val="singleLevel"/>
    <w:tmpl w:val="FBECF160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1">
    <w:nsid w:val="FEFEE43D"/>
    <w:multiLevelType w:val="singleLevel"/>
    <w:tmpl w:val="FEFEE43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2">
    <w:nsid w:val="FF3C5A14"/>
    <w:multiLevelType w:val="singleLevel"/>
    <w:tmpl w:val="FF3C5A1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3">
    <w:nsid w:val="7AFF9025"/>
    <w:multiLevelType w:val="singleLevel"/>
    <w:tmpl w:val="7AFF902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32"/>
        <w:szCs w:val="32"/>
      </w:rPr>
    </w:lvl>
  </w:abstractNum>
  <w:abstractNum w:abstractNumId="24">
    <w:nsid w:val="7FBF4D8C"/>
    <w:multiLevelType w:val="singleLevel"/>
    <w:tmpl w:val="7FBF4D8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1"/>
  </w:num>
  <w:num w:numId="2">
    <w:abstractNumId w:val="2"/>
  </w:num>
  <w:num w:numId="3">
    <w:abstractNumId w:val="9"/>
  </w:num>
  <w:num w:numId="4">
    <w:abstractNumId w:val="15"/>
  </w:num>
  <w:num w:numId="5">
    <w:abstractNumId w:val="12"/>
  </w:num>
  <w:num w:numId="6">
    <w:abstractNumId w:val="3"/>
  </w:num>
  <w:num w:numId="7">
    <w:abstractNumId w:val="4"/>
  </w:num>
  <w:num w:numId="8">
    <w:abstractNumId w:val="18"/>
  </w:num>
  <w:num w:numId="9">
    <w:abstractNumId w:val="24"/>
  </w:num>
  <w:num w:numId="10">
    <w:abstractNumId w:val="22"/>
  </w:num>
  <w:num w:numId="11">
    <w:abstractNumId w:val="14"/>
  </w:num>
  <w:num w:numId="12">
    <w:abstractNumId w:val="0"/>
  </w:num>
  <w:num w:numId="13">
    <w:abstractNumId w:val="1"/>
  </w:num>
  <w:num w:numId="14">
    <w:abstractNumId w:val="5"/>
  </w:num>
  <w:num w:numId="15">
    <w:abstractNumId w:val="10"/>
  </w:num>
  <w:num w:numId="16">
    <w:abstractNumId w:val="13"/>
  </w:num>
  <w:num w:numId="17">
    <w:abstractNumId w:val="7"/>
  </w:num>
  <w:num w:numId="18">
    <w:abstractNumId w:val="6"/>
  </w:num>
  <w:num w:numId="19">
    <w:abstractNumId w:val="11"/>
  </w:num>
  <w:num w:numId="20">
    <w:abstractNumId w:val="20"/>
  </w:num>
  <w:num w:numId="21">
    <w:abstractNumId w:val="17"/>
  </w:num>
  <w:num w:numId="22">
    <w:abstractNumId w:val="8"/>
  </w:num>
  <w:num w:numId="23">
    <w:abstractNumId w:val="16"/>
  </w:num>
  <w:num w:numId="24">
    <w:abstractNumId w:val="2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24"/>
    <w:footnote w:id="25"/>
  </w:foot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D0"/>
    <w:rsid w:val="00101CEE"/>
    <w:rsid w:val="00145422"/>
    <w:rsid w:val="00211FD6"/>
    <w:rsid w:val="0033162B"/>
    <w:rsid w:val="00350616"/>
    <w:rsid w:val="00497602"/>
    <w:rsid w:val="005A16B4"/>
    <w:rsid w:val="00695E14"/>
    <w:rsid w:val="0080405D"/>
    <w:rsid w:val="00841B0F"/>
    <w:rsid w:val="00955AD0"/>
    <w:rsid w:val="00C56F86"/>
    <w:rsid w:val="00FF13C4"/>
    <w:rsid w:val="08123F24"/>
    <w:rsid w:val="2F7E1D1C"/>
    <w:rsid w:val="3E36DC2D"/>
    <w:rsid w:val="3FBE96EE"/>
    <w:rsid w:val="4FC7F2A1"/>
    <w:rsid w:val="57FF8240"/>
    <w:rsid w:val="5FF71FF6"/>
    <w:rsid w:val="5FFFDCF5"/>
    <w:rsid w:val="62F1B3EE"/>
    <w:rsid w:val="68BA2870"/>
    <w:rsid w:val="69BFC9A3"/>
    <w:rsid w:val="6E9C36E2"/>
    <w:rsid w:val="6F7F2116"/>
    <w:rsid w:val="75AB0A90"/>
    <w:rsid w:val="75FC4381"/>
    <w:rsid w:val="77BFC8F5"/>
    <w:rsid w:val="77DE369B"/>
    <w:rsid w:val="7B652973"/>
    <w:rsid w:val="7D3B474E"/>
    <w:rsid w:val="7D7F18B6"/>
    <w:rsid w:val="7D93E131"/>
    <w:rsid w:val="7DB77716"/>
    <w:rsid w:val="7E170634"/>
    <w:rsid w:val="7EEFC67D"/>
    <w:rsid w:val="7EFE4348"/>
    <w:rsid w:val="7EFF58BD"/>
    <w:rsid w:val="7F19EF15"/>
    <w:rsid w:val="7F519A31"/>
    <w:rsid w:val="7F6D4004"/>
    <w:rsid w:val="7FEAE552"/>
    <w:rsid w:val="7FED0139"/>
    <w:rsid w:val="7FFBC80D"/>
    <w:rsid w:val="7FFE0880"/>
    <w:rsid w:val="8FFD2840"/>
    <w:rsid w:val="B5BF3F92"/>
    <w:rsid w:val="B79D3BB7"/>
    <w:rsid w:val="BCB9703C"/>
    <w:rsid w:val="BDF5EAB3"/>
    <w:rsid w:val="BE7E61D0"/>
    <w:rsid w:val="BF77F4D0"/>
    <w:rsid w:val="BFCF8AAE"/>
    <w:rsid w:val="CFBFECB6"/>
    <w:rsid w:val="D7FF3778"/>
    <w:rsid w:val="DBBF33A2"/>
    <w:rsid w:val="DEEDD236"/>
    <w:rsid w:val="DFDF3798"/>
    <w:rsid w:val="EB3E36C1"/>
    <w:rsid w:val="EF2FD9FD"/>
    <w:rsid w:val="EF4E74F9"/>
    <w:rsid w:val="EF7B2397"/>
    <w:rsid w:val="EFD76C7A"/>
    <w:rsid w:val="F455BD05"/>
    <w:rsid w:val="F63D4593"/>
    <w:rsid w:val="F7DF25B1"/>
    <w:rsid w:val="F9BD5550"/>
    <w:rsid w:val="FB4374F5"/>
    <w:rsid w:val="FB6EBEFD"/>
    <w:rsid w:val="FBEF0A6A"/>
    <w:rsid w:val="FBF31AEC"/>
    <w:rsid w:val="FBFB968C"/>
    <w:rsid w:val="FBFD6CE6"/>
    <w:rsid w:val="FDD96C90"/>
    <w:rsid w:val="FDFF7D1F"/>
    <w:rsid w:val="FEF4ABF3"/>
    <w:rsid w:val="FF1DA32F"/>
    <w:rsid w:val="FF73788D"/>
    <w:rsid w:val="FFBE9899"/>
    <w:rsid w:val="FFC75FBD"/>
    <w:rsid w:val="FFFB18D7"/>
    <w:rsid w:val="FFFF4590"/>
    <w:rsid w:val="FFFF9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4"/>
      <w:szCs w:val="24"/>
      <w:lang w:val="zh-CN" w:eastAsia="ja-JP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uiPriority w:val="99"/>
    <w:pPr>
      <w:jc w:val="left"/>
    </w:pPr>
  </w:style>
  <w:style w:type="paragraph" w:styleId="12">
    <w:name w:val="Subtitle"/>
    <w:basedOn w:val="1"/>
    <w:next w:val="1"/>
    <w:link w:val="32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footnote text"/>
    <w:basedOn w:val="1"/>
    <w:semiHidden/>
    <w:unhideWhenUsed/>
    <w:uiPriority w:val="99"/>
    <w:pPr>
      <w:snapToGrid w:val="0"/>
      <w:jc w:val="left"/>
    </w:pPr>
    <w:rPr>
      <w:sz w:val="18"/>
    </w:rPr>
  </w:style>
  <w:style w:type="paragraph" w:styleId="1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31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Light Grid Accent 1"/>
    <w:basedOn w:val="16"/>
    <w:uiPriority w:val="62"/>
    <w:rPr>
      <w:kern w:val="0"/>
      <w:sz w:val="22"/>
      <w:szCs w:val="22"/>
      <w:lang w:val="en-US" w:eastAsia="en-US"/>
      <w14:ligatures w14:val="none"/>
    </w:rPr>
    <w:tblPr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18" w:space="0"/>
          <w:right w:val="single" w:color="156082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sz="8" w:space="0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sz="8" w:space="0"/>
        </w:tcBorders>
      </w:tcPr>
    </w:tblStyle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styleId="21">
    <w:name w:val="footnote reference"/>
    <w:basedOn w:val="18"/>
    <w:semiHidden/>
    <w:unhideWhenUsed/>
    <w:qFormat/>
    <w:uiPriority w:val="99"/>
    <w:rPr>
      <w:vertAlign w:val="superscript"/>
    </w:rPr>
  </w:style>
  <w:style w:type="character" w:customStyle="1" w:styleId="22">
    <w:name w:val="Heading 1 Char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Heading 2 Char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Heading 3 Char"/>
    <w:basedOn w:val="18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5">
    <w:name w:val="Heading 4 Char"/>
    <w:basedOn w:val="18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6">
    <w:name w:val="Heading 5 Char"/>
    <w:basedOn w:val="18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7">
    <w:name w:val="Heading 6 Char"/>
    <w:basedOn w:val="18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Heading 7 Char"/>
    <w:basedOn w:val="18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Heading 8 Char"/>
    <w:basedOn w:val="18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Heading 9 Char"/>
    <w:basedOn w:val="18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Title Char"/>
    <w:basedOn w:val="18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Subtitle Char"/>
    <w:basedOn w:val="18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Quote Char"/>
    <w:basedOn w:val="18"/>
    <w:link w:val="33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Intense Quote Char"/>
    <w:basedOn w:val="18"/>
    <w:link w:val="37"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47</Pages>
  <Words>3355</Words>
  <Characters>3569</Characters>
  <Lines>182</Lines>
  <Paragraphs>51</Paragraphs>
  <TotalTime>15</TotalTime>
  <ScaleCrop>false</ScaleCrop>
  <LinksUpToDate>false</LinksUpToDate>
  <CharactersWithSpaces>3682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2026-04-03T03:42:00Z</dcterms:created>
  <dc:creator>Michael WHITTLE</dc:creator>
  <cp:lastModifiedBy>Kate</cp:lastModifiedBy>
  <dcterms:modified xsi:type="dcterms:W3CDTF">2026-04-14T12:37:21Z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3DB6D92852435CA81C5DD869BC31F96B_43</vt:lpwstr>
  </property>
  <property fmtid="{D5CDD505-2E9C-101B-9397-08002B2CF9AE}" pid="4" name="KSOTemplateDocerSaveRecord">
    <vt:lpwstr>eyJoZGlkIjoiOGVmZjg0MGJjNGUzYWNmNTdiNTljNGQxMDEwMmQxNjYiLCJ1c2VySWQiOiI0MzYyMzk5NzQifQ==</vt:lpwstr>
  </property>
</Properties>
</file>